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6A59E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32"/>
          <w:szCs w:val="32"/>
        </w:rPr>
      </w:pPr>
    </w:p>
    <w:p w14:paraId="6F69D2D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14:paraId="74C51B8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14:paraId="7D68458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14:paraId="063CD6F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宋体" w:eastAsia="黑体"/>
          <w:sz w:val="44"/>
          <w:szCs w:val="44"/>
        </w:rPr>
      </w:pPr>
      <w:r>
        <w:rPr>
          <w:rFonts w:ascii="宋体" w:eastAsia="黑体"/>
          <w:b w:val="0"/>
          <w:sz w:val="44"/>
          <w:szCs w:val="44"/>
        </w:rPr>
        <w:t>新疆维吾尔自治区水利水电科学研究院</w:t>
      </w:r>
    </w:p>
    <w:p w14:paraId="2B2BFE9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44"/>
          <w:szCs w:val="44"/>
        </w:rPr>
      </w:pPr>
      <w:r>
        <w:rPr>
          <w:rFonts w:ascii="黑体" w:eastAsia="黑体"/>
          <w:b w:val="0"/>
          <w:sz w:val="44"/>
          <w:szCs w:val="44"/>
        </w:rPr>
        <w:t>2025年度部门决算公开说明</w:t>
      </w:r>
    </w:p>
    <w:p w14:paraId="32DB0A12">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439BA08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rPr>
          <w:rFonts w:hint="eastAsia" w:ascii="仿宋_GB2312" w:hAnsi="仿宋_GB2312" w:eastAsia="仿宋_GB2312" w:cs="仿宋_GB2312"/>
          <w:b/>
          <w:bCs w:val="0"/>
          <w:kern w:val="0"/>
          <w:sz w:val="36"/>
          <w:szCs w:val="36"/>
          <w:highlight w:val="none"/>
        </w:rPr>
      </w:pPr>
    </w:p>
    <w:p w14:paraId="127FD9C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rPr>
          <w:rFonts w:ascii="黑体" w:eastAsia="黑体"/>
          <w:sz w:val="32"/>
          <w:szCs w:val="32"/>
        </w:rPr>
      </w:pPr>
      <w:r>
        <w:rPr>
          <w:rFonts w:hint="eastAsia" w:ascii="仿宋_GB2312" w:hAnsi="仿宋_GB2312" w:eastAsia="仿宋_GB2312" w:cs="仿宋_GB2312"/>
          <w:b/>
          <w:bCs w:val="0"/>
          <w:kern w:val="0"/>
          <w:sz w:val="36"/>
          <w:szCs w:val="36"/>
          <w:highlight w:val="none"/>
        </w:rPr>
        <w:t>目  录</w:t>
      </w:r>
    </w:p>
    <w:p w14:paraId="2AA3B9F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第一部分单位概况</w:t>
      </w:r>
    </w:p>
    <w:p w14:paraId="0911BB3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一、主要职能</w:t>
      </w:r>
    </w:p>
    <w:p w14:paraId="3C394E5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二、机构设置</w:t>
      </w:r>
    </w:p>
    <w:p w14:paraId="029689B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第二部分 部门决算情况说明</w:t>
      </w:r>
    </w:p>
    <w:p w14:paraId="32E5B4E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14:paraId="668FD09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14:paraId="7A9AC48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14:paraId="78EB3C8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14:paraId="44C0500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14:paraId="363A66A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14:paraId="3C0E02E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14:paraId="0F11ADE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14:paraId="51CE97C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14:paraId="0BC1844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14:paraId="4865381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04A858F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14:paraId="2BBBB8B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14:paraId="7ACD0A4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14:paraId="57CD5EE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（二）政府采购情况</w:t>
      </w:r>
    </w:p>
    <w:p w14:paraId="37D4255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14:paraId="04F4A70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14:paraId="037D1A9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14:paraId="45630C6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第三部分 专业名词解释</w:t>
      </w:r>
    </w:p>
    <w:p w14:paraId="46D972F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第四部分 部门决算报表（见附表）</w:t>
      </w:r>
    </w:p>
    <w:p w14:paraId="5BC40D8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14:paraId="19647A7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二、《收入决算表》</w:t>
      </w:r>
    </w:p>
    <w:p w14:paraId="6240CC5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三、《支出决算表》</w:t>
      </w:r>
    </w:p>
    <w:p w14:paraId="214BD7B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14:paraId="62BB6D2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14:paraId="37075F4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14:paraId="18715B5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14:paraId="4212536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14:paraId="622F72D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14:paraId="6A1C8EC8">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1EF9F49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b w:val="0"/>
          <w:sz w:val="32"/>
          <w:szCs w:val="32"/>
        </w:rPr>
      </w:pPr>
      <w:bookmarkStart w:id="0" w:name="_Toc24028"/>
      <w:bookmarkStart w:id="1" w:name="_Toc31918"/>
      <w:r>
        <w:rPr>
          <w:rFonts w:hint="eastAsia" w:ascii="黑体" w:hAnsi="黑体" w:eastAsia="黑体" w:cs="宋体"/>
          <w:bCs/>
          <w:kern w:val="0"/>
          <w:sz w:val="32"/>
          <w:szCs w:val="32"/>
          <w:highlight w:val="none"/>
          <w:lang w:val="en-US" w:eastAsia="zh-CN"/>
        </w:rPr>
        <w:t>第一部分 部门（单位）概况</w:t>
      </w:r>
      <w:bookmarkEnd w:id="0"/>
      <w:bookmarkEnd w:id="1"/>
    </w:p>
    <w:p w14:paraId="7958C02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14:paraId="564A75D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eastAsia" w:ascii="仿宋_GB2312" w:eastAsia="仿宋_GB2312"/>
          <w:b w:val="0"/>
          <w:sz w:val="32"/>
          <w:szCs w:val="32"/>
          <w:lang w:eastAsia="zh-CN"/>
        </w:rPr>
        <w:t>本单位主要</w:t>
      </w:r>
      <w:r>
        <w:rPr>
          <w:rFonts w:ascii="仿宋_GB2312" w:eastAsia="仿宋_GB2312"/>
          <w:b w:val="0"/>
          <w:sz w:val="32"/>
          <w:szCs w:val="32"/>
        </w:rPr>
        <w:t>承担水战略、水资源、水安全、水生态、河湖生态保护与修复、跨境河流研究；承担区域水旱灾害发生机理与减灾技术研究；承担水利信息化应用研究；承担水工程质量检测、健康诊断与安全评价、清洁能源、新材料研发和推广应用研究；承担水力学、河流动力学、工程泥沙研究与应用研究；承担农村牧区水利技术、大中型灌区改造、盐碱地改良与微咸水利用技术研究应用；承担农业节水理论、设备技术研发及相关技术服务研究；承担大坝及工程安全监测设计施工及资料分析、工程性状评价及健康诊断及应用研究；承担水土保持与生态环境技术研究；承担水利水电科技成果转化工作；承担水利科技技术推广与科普、水文化、水宣传工作；承担水利工程技术咨询与技术服务工作；承办厅党组交办的其他事项。</w:t>
      </w:r>
    </w:p>
    <w:p w14:paraId="1D46BD2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w:t>
      </w:r>
    </w:p>
    <w:p w14:paraId="5EE7DD0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新疆维吾尔自治区水利水电科学研究院无下属预算单位。</w:t>
      </w:r>
    </w:p>
    <w:p w14:paraId="68C4CE3B">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5B6A844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outlineLvl w:val="1"/>
        <w:rPr>
          <w:rFonts w:hint="eastAsia" w:ascii="黑体" w:hAnsi="黑体" w:eastAsia="黑体" w:cs="宋体"/>
          <w:bCs/>
          <w:kern w:val="0"/>
          <w:sz w:val="32"/>
          <w:szCs w:val="32"/>
          <w:highlight w:val="none"/>
          <w:lang w:val="en-US" w:eastAsia="zh-CN"/>
        </w:rPr>
      </w:pPr>
      <w:bookmarkStart w:id="2" w:name="_Toc3092"/>
      <w:bookmarkStart w:id="3" w:name="_Toc7559"/>
      <w:r>
        <w:rPr>
          <w:rFonts w:hint="eastAsia" w:ascii="黑体" w:hAnsi="黑体" w:eastAsia="黑体" w:cs="宋体"/>
          <w:bCs/>
          <w:kern w:val="0"/>
          <w:sz w:val="32"/>
          <w:szCs w:val="32"/>
          <w:highlight w:val="none"/>
          <w:lang w:val="en-US" w:eastAsia="zh-CN"/>
        </w:rPr>
        <w:t>第二部分 部门决算情况说明</w:t>
      </w:r>
      <w:bookmarkEnd w:id="2"/>
      <w:bookmarkEnd w:id="3"/>
    </w:p>
    <w:p w14:paraId="5607B45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14:paraId="42520A3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2025年度收入总计13,611.83万元，</w:t>
      </w:r>
      <w:r>
        <w:rPr>
          <w:rFonts w:ascii="仿宋_GB2312" w:eastAsia="仿宋_GB2312"/>
          <w:b w:val="0"/>
          <w:sz w:val="32"/>
          <w:szCs w:val="32"/>
        </w:rPr>
        <w:t>其中：本年收入合计10,055.99万元，使用非财政拨款结余（含专用结余）2,586.99万元，年初结转和结余968.86万元。</w:t>
      </w:r>
    </w:p>
    <w:p w14:paraId="29AE909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2025年度支出总计13,611.83万元，</w:t>
      </w:r>
      <w:r>
        <w:rPr>
          <w:rFonts w:ascii="仿宋_GB2312" w:eastAsia="仿宋_GB2312"/>
          <w:b w:val="0"/>
          <w:sz w:val="32"/>
          <w:szCs w:val="32"/>
        </w:rPr>
        <w:t>其中：本年支出合计12,403.03万元，结余分配0.00万元，年末结转和结余1,208.80万元。</w:t>
      </w:r>
    </w:p>
    <w:p w14:paraId="287C1E8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收入支出总体与上年相比，</w:t>
      </w:r>
      <w:r>
        <w:rPr>
          <w:rFonts w:ascii="仿宋_GB2312" w:eastAsia="仿宋_GB2312"/>
          <w:b w:val="0"/>
          <w:sz w:val="32"/>
          <w:szCs w:val="32"/>
        </w:rPr>
        <w:t>增加2,240.05万元，增长19.70%，主要原因是：在2025年新疆水科院承担的“十四五”自治区重大专项、国家重点研发项目、两项新疆综合科学考察项目课题等专项课题较上年有所增长。</w:t>
      </w:r>
    </w:p>
    <w:p w14:paraId="19B2E05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14:paraId="31E8AE2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本年收入10,055.99万元，</w:t>
      </w:r>
      <w:r>
        <w:rPr>
          <w:rFonts w:ascii="仿宋_GB2312" w:eastAsia="仿宋_GB2312"/>
          <w:b w:val="0"/>
          <w:sz w:val="32"/>
          <w:szCs w:val="32"/>
        </w:rPr>
        <w:t>其中：财政拨款收入3,994.46万元,占39.72%；上级补助收入0.00万元,占0.00%；事业收入4,342.21万元，占43.18%；经营收入0.00万元,占0.00%；附属单位上缴收入0.00万元，占0.00%；其他收入1,719.32万元，占17.10%。</w:t>
      </w:r>
    </w:p>
    <w:p w14:paraId="739027B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14:paraId="41DDDB0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本年支出12,403.03万元，</w:t>
      </w:r>
      <w:r>
        <w:rPr>
          <w:rFonts w:ascii="仿宋_GB2312" w:eastAsia="仿宋_GB2312"/>
          <w:b w:val="0"/>
          <w:sz w:val="32"/>
          <w:szCs w:val="32"/>
        </w:rPr>
        <w:t>其中：基本支出8,321.73万元，占67.09%；项目支出4,081.29万元，占32.91%；上缴上级支出0.00万元，占0.00%；经营支出0.00万元，占0.00%；对附属单位补助支出0.00万元，占0.00%。</w:t>
      </w:r>
    </w:p>
    <w:p w14:paraId="121C90F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14:paraId="3E770C5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2025年度财政拨款收入总计3,994.46万元，</w:t>
      </w:r>
      <w:r>
        <w:rPr>
          <w:rFonts w:ascii="仿宋_GB2312" w:eastAsia="仿宋_GB2312"/>
          <w:b w:val="0"/>
          <w:sz w:val="32"/>
          <w:szCs w:val="32"/>
        </w:rPr>
        <w:t>其中：年初财政拨款结转和结余0.00万元，本年财政拨款收入3,994.46万元。</w:t>
      </w:r>
      <w:r>
        <w:rPr>
          <w:rFonts w:ascii="仿宋_GB2312" w:eastAsia="仿宋_GB2312"/>
          <w:b/>
          <w:bCs/>
          <w:sz w:val="32"/>
          <w:szCs w:val="32"/>
        </w:rPr>
        <w:t>财政拨款支出总计3,994.46万元，</w:t>
      </w:r>
      <w:r>
        <w:rPr>
          <w:rFonts w:ascii="仿宋_GB2312" w:eastAsia="仿宋_GB2312"/>
          <w:b w:val="0"/>
          <w:sz w:val="32"/>
          <w:szCs w:val="32"/>
        </w:rPr>
        <w:t>其中：年末财政拨款结转和结余0.00万元，本年财政拨款支出3,994.46万元。</w:t>
      </w:r>
    </w:p>
    <w:p w14:paraId="3365E0E8">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ascii="仿宋_GB2312" w:eastAsia="仿宋_GB2312"/>
          <w:b/>
          <w:bCs/>
          <w:sz w:val="32"/>
          <w:szCs w:val="32"/>
        </w:rPr>
        <w:t>财政拨款收入支出总体与上年相比，</w:t>
      </w:r>
      <w:r>
        <w:rPr>
          <w:rFonts w:hint="eastAsia" w:ascii="仿宋_GB2312" w:hAnsi="仿宋_GB2312" w:eastAsia="仿宋_GB2312" w:cs="仿宋_GB2312"/>
          <w:b w:val="0"/>
          <w:sz w:val="32"/>
          <w:szCs w:val="32"/>
        </w:rPr>
        <w:t>增加417.67万元，增长11.68%，主要原因是：2025年新疆水科院承担的“十四五”自治区重大专项、国家重点研发项目、两项新疆综合科学考察项目课题等专项课题</w:t>
      </w:r>
      <w:r>
        <w:rPr>
          <w:rFonts w:hint="eastAsia" w:ascii="仿宋_GB2312" w:hAnsi="仿宋_GB2312" w:eastAsia="仿宋_GB2312" w:cs="仿宋_GB2312"/>
          <w:b w:val="0"/>
          <w:sz w:val="32"/>
          <w:szCs w:val="32"/>
          <w:lang w:val="en-US" w:eastAsia="zh-CN"/>
        </w:rPr>
        <w:t>较上年增加。</w:t>
      </w:r>
      <w:r>
        <w:rPr>
          <w:rFonts w:ascii="仿宋_GB2312" w:eastAsia="仿宋_GB2312"/>
          <w:b/>
          <w:bCs/>
          <w:sz w:val="32"/>
          <w:szCs w:val="32"/>
        </w:rPr>
        <w:t>与年初预算相比，</w:t>
      </w:r>
      <w:r>
        <w:rPr>
          <w:rFonts w:ascii="仿宋_GB2312" w:eastAsia="仿宋_GB2312"/>
          <w:b w:val="0"/>
          <w:sz w:val="32"/>
          <w:szCs w:val="32"/>
        </w:rPr>
        <w:t>年初预算数2,930.92万元，决算数3,994.46万元，预决算差异率36.29%，主要原因是：</w:t>
      </w:r>
      <w:r>
        <w:rPr>
          <w:rFonts w:hint="eastAsia" w:ascii="仿宋_GB2312" w:hAnsi="仿宋_GB2312" w:eastAsia="仿宋_GB2312" w:cs="仿宋_GB2312"/>
          <w:i w:val="0"/>
          <w:iCs w:val="0"/>
          <w:caps w:val="0"/>
          <w:color w:val="1F343B"/>
          <w:spacing w:val="0"/>
          <w:sz w:val="32"/>
          <w:szCs w:val="32"/>
          <w:shd w:val="clear" w:fill="FFFFFF"/>
        </w:rPr>
        <w:t>年中追加</w:t>
      </w:r>
      <w:r>
        <w:rPr>
          <w:rFonts w:hint="eastAsia" w:ascii="仿宋_GB2312" w:hAnsi="仿宋_GB2312" w:eastAsia="仿宋_GB2312" w:cs="仿宋_GB2312"/>
          <w:i w:val="0"/>
          <w:iCs w:val="0"/>
          <w:caps w:val="0"/>
          <w:color w:val="1F343B"/>
          <w:spacing w:val="0"/>
          <w:sz w:val="32"/>
          <w:szCs w:val="32"/>
          <w:shd w:val="clear" w:fill="FFFFFF"/>
          <w:lang w:eastAsia="zh-CN"/>
        </w:rPr>
        <w:t>四个科技计划项目，分别为：</w:t>
      </w:r>
      <w:r>
        <w:rPr>
          <w:rFonts w:hint="eastAsia" w:ascii="仿宋_GB2312" w:hAnsi="仿宋_GB2312" w:eastAsia="仿宋_GB2312" w:cs="仿宋_GB2312"/>
          <w:i w:val="0"/>
          <w:iCs w:val="0"/>
          <w:caps w:val="0"/>
          <w:color w:val="1F343B"/>
          <w:spacing w:val="0"/>
          <w:sz w:val="32"/>
          <w:szCs w:val="32"/>
          <w:highlight w:val="none"/>
          <w:shd w:val="clear" w:fill="FFFFFF"/>
        </w:rPr>
        <w:t>新疆人才发展基金2025年度第二轮支持资金—“天山英才”培养计划</w:t>
      </w:r>
      <w:r>
        <w:rPr>
          <w:rFonts w:hint="eastAsia" w:ascii="仿宋_GB2312" w:hAnsi="仿宋_GB2312" w:eastAsia="仿宋_GB2312" w:cs="仿宋_GB2312"/>
          <w:i w:val="0"/>
          <w:iCs w:val="0"/>
          <w:caps w:val="0"/>
          <w:color w:val="1F343B"/>
          <w:spacing w:val="0"/>
          <w:sz w:val="32"/>
          <w:szCs w:val="32"/>
          <w:shd w:val="clear" w:fill="FFFFFF"/>
        </w:rPr>
        <w:t>项目</w:t>
      </w:r>
      <w:r>
        <w:rPr>
          <w:rFonts w:hint="eastAsia" w:ascii="仿宋_GB2312" w:hAnsi="仿宋_GB2312" w:eastAsia="仿宋_GB2312" w:cs="仿宋_GB2312"/>
          <w:i w:val="0"/>
          <w:iCs w:val="0"/>
          <w:caps w:val="0"/>
          <w:color w:val="1F343B"/>
          <w:spacing w:val="0"/>
          <w:sz w:val="32"/>
          <w:szCs w:val="32"/>
          <w:shd w:val="clear" w:fill="FFFFFF"/>
          <w:lang w:eastAsia="zh-CN"/>
        </w:rPr>
        <w:t>；新疆人才发展基金2025年度第二轮支持资金—科研创新平台人才团队支持计划项目；新疆人才发展基金2025年度第一轮支持资金—天山英才培养计划项目；新疆人才发展基金2025年度第二轮支持资金—智力援疆创新拓展人才计划项目</w:t>
      </w:r>
      <w:r>
        <w:rPr>
          <w:rFonts w:hint="eastAsia" w:ascii="仿宋_GB2312" w:hAnsi="仿宋_GB2312" w:eastAsia="仿宋_GB2312" w:cs="仿宋_GB2312"/>
          <w:i w:val="0"/>
          <w:iCs w:val="0"/>
          <w:caps w:val="0"/>
          <w:color w:val="1F343B"/>
          <w:spacing w:val="0"/>
          <w:sz w:val="32"/>
          <w:szCs w:val="32"/>
          <w:shd w:val="clear" w:fill="FFFFFF"/>
        </w:rPr>
        <w:t>，导致预决算存在差异</w:t>
      </w:r>
      <w:r>
        <w:rPr>
          <w:rFonts w:hint="eastAsia" w:ascii="仿宋_GB2312" w:hAnsi="仿宋_GB2312" w:eastAsia="仿宋_GB2312" w:cs="仿宋_GB2312"/>
          <w:i w:val="0"/>
          <w:iCs w:val="0"/>
          <w:caps w:val="0"/>
          <w:color w:val="1F343B"/>
          <w:spacing w:val="0"/>
          <w:sz w:val="32"/>
          <w:szCs w:val="32"/>
          <w:shd w:val="clear" w:fill="FFFFFF"/>
          <w:lang w:eastAsia="zh-CN"/>
        </w:rPr>
        <w:t>；</w:t>
      </w:r>
      <w:r>
        <w:rPr>
          <w:rFonts w:hint="eastAsia" w:ascii="仿宋_GB2312" w:hAnsi="仿宋_GB2312" w:eastAsia="仿宋_GB2312" w:cs="仿宋_GB2312"/>
          <w:i w:val="0"/>
          <w:iCs w:val="0"/>
          <w:caps w:val="0"/>
          <w:color w:val="1F343B"/>
          <w:spacing w:val="0"/>
          <w:sz w:val="32"/>
          <w:szCs w:val="32"/>
          <w:shd w:val="clear" w:fill="FFFFFF"/>
        </w:rPr>
        <w:t>年中追加人员工资、社保、公积金基数调增部分资金，导致预决算存在差异</w:t>
      </w:r>
      <w:r>
        <w:rPr>
          <w:rFonts w:hint="eastAsia" w:ascii="仿宋_GB2312" w:hAnsi="仿宋_GB2312" w:eastAsia="仿宋_GB2312" w:cs="仿宋_GB2312"/>
          <w:i w:val="0"/>
          <w:iCs w:val="0"/>
          <w:caps w:val="0"/>
          <w:color w:val="1F343B"/>
          <w:spacing w:val="0"/>
          <w:sz w:val="32"/>
          <w:szCs w:val="32"/>
          <w:shd w:val="clear" w:fill="FFFFFF"/>
          <w:lang w:eastAsia="zh-CN"/>
        </w:rPr>
        <w:t>。</w:t>
      </w:r>
    </w:p>
    <w:p w14:paraId="4021A2D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14:paraId="6152D0EE">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w:t>
      </w:r>
      <w:r>
        <w:rPr>
          <w:rFonts w:hint="eastAsia" w:ascii="仿宋_GB2312" w:hAnsi="仿宋_GB2312" w:eastAsia="仿宋_GB2312" w:cs="仿宋_GB2312"/>
          <w:sz w:val="32"/>
          <w:szCs w:val="32"/>
          <w:lang w:val="en-US" w:eastAsia="zh-CN"/>
        </w:rPr>
        <w:t>机构运行、公共服务、事业发展、民生保障</w:t>
      </w:r>
      <w:r>
        <w:rPr>
          <w:rFonts w:ascii="仿宋_GB2312" w:eastAsia="仿宋_GB2312"/>
          <w:b w:val="0"/>
          <w:sz w:val="32"/>
          <w:szCs w:val="32"/>
        </w:rPr>
        <w:t>等重点支出，体现在有关支出科目中。</w:t>
      </w:r>
    </w:p>
    <w:p w14:paraId="48B667E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hint="eastAsia" w:ascii="仿宋_GB2312" w:eastAsia="仿宋_GB2312"/>
          <w:sz w:val="32"/>
          <w:szCs w:val="32"/>
          <w:lang w:val="en-US" w:eastAsia="zh-CN"/>
        </w:rPr>
      </w:pPr>
      <w:r>
        <w:rPr>
          <w:rFonts w:ascii="仿宋_GB2312" w:eastAsia="仿宋_GB2312"/>
          <w:b w:val="0"/>
          <w:sz w:val="32"/>
          <w:szCs w:val="32"/>
        </w:rPr>
        <w:t>按照支出功能分类，科学技术支出（类）应用研究（款）机构运行（项）的支出占本年财政拨款支出总额的比重最高，2025年度决算数为3,550.46万元，占比88.88%，主要用于2025年科学技术支出主要用于人员工资社保、公用支出、基础设施修、科研课题项目以及综合实验楼建设项目</w:t>
      </w:r>
      <w:r>
        <w:rPr>
          <w:rFonts w:hint="eastAsia" w:ascii="仿宋_GB2312" w:eastAsia="仿宋_GB2312"/>
          <w:b w:val="0"/>
          <w:sz w:val="32"/>
          <w:szCs w:val="32"/>
          <w:lang w:eastAsia="zh-CN"/>
        </w:rPr>
        <w:t>。</w:t>
      </w:r>
    </w:p>
    <w:p w14:paraId="6766264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（一）一般公共预算财政拨款支出决算总体情况</w:t>
      </w:r>
    </w:p>
    <w:p w14:paraId="47FB8872">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rPr>
      </w:pPr>
      <w:r>
        <w:rPr>
          <w:rFonts w:ascii="仿宋_GB2312" w:eastAsia="仿宋_GB2312"/>
          <w:b/>
          <w:bCs/>
          <w:sz w:val="32"/>
          <w:szCs w:val="32"/>
        </w:rPr>
        <w:t>2025年度一般公共预算财政拨款支出3,994.46万元，</w:t>
      </w:r>
      <w:r>
        <w:rPr>
          <w:rFonts w:ascii="仿宋_GB2312" w:eastAsia="仿宋_GB2312"/>
          <w:b w:val="0"/>
          <w:sz w:val="32"/>
          <w:szCs w:val="32"/>
        </w:rPr>
        <w:t>占本年支出合计的32.21%。与上年相比，增加417.67万元，增长11.68%，主要原因是：</w:t>
      </w:r>
      <w:r>
        <w:rPr>
          <w:rFonts w:hint="eastAsia" w:ascii="仿宋_GB2312" w:hAnsi="仿宋_GB2312" w:eastAsia="仿宋_GB2312" w:cs="仿宋_GB2312"/>
          <w:sz w:val="32"/>
          <w:szCs w:val="32"/>
        </w:rPr>
        <w:t>本年在职人员工资调增，导致</w:t>
      </w:r>
      <w:r>
        <w:rPr>
          <w:rFonts w:hint="eastAsia" w:ascii="仿宋_GB2312" w:hAnsi="仿宋_GB2312" w:eastAsia="仿宋_GB2312" w:cs="仿宋_GB2312"/>
          <w:sz w:val="32"/>
          <w:szCs w:val="32"/>
          <w:lang w:val="en-US" w:eastAsia="zh-CN"/>
        </w:rPr>
        <w:t>工资、社保、公积金等</w:t>
      </w:r>
      <w:r>
        <w:rPr>
          <w:rFonts w:hint="eastAsia" w:ascii="仿宋_GB2312" w:hAnsi="仿宋_GB2312" w:eastAsia="仿宋_GB2312" w:cs="仿宋_GB2312"/>
          <w:sz w:val="32"/>
          <w:szCs w:val="32"/>
        </w:rPr>
        <w:t>相关人员经费较上年有所增加</w:t>
      </w:r>
      <w:r>
        <w:rPr>
          <w:rFonts w:hint="eastAsia" w:ascii="仿宋_GB2312" w:hAnsi="仿宋_GB2312" w:eastAsia="仿宋_GB2312" w:cs="仿宋_GB2312"/>
          <w:sz w:val="32"/>
          <w:szCs w:val="32"/>
          <w:lang w:eastAsia="zh-CN"/>
        </w:rPr>
        <w:t>。</w:t>
      </w:r>
      <w:r>
        <w:rPr>
          <w:rFonts w:ascii="仿宋_GB2312" w:eastAsia="仿宋_GB2312"/>
          <w:b/>
          <w:bCs/>
          <w:sz w:val="32"/>
          <w:szCs w:val="32"/>
        </w:rPr>
        <w:t>与年初预算相比，</w:t>
      </w:r>
      <w:r>
        <w:rPr>
          <w:rFonts w:ascii="仿宋_GB2312" w:eastAsia="仿宋_GB2312"/>
          <w:b w:val="0"/>
          <w:sz w:val="32"/>
          <w:szCs w:val="32"/>
        </w:rPr>
        <w:t>年初预算数2,930.92万元，决算数3,994.46万元，预决算差异率36.29%，主要原因是：</w:t>
      </w:r>
      <w:r>
        <w:rPr>
          <w:rFonts w:hint="eastAsia" w:ascii="仿宋_GB2312" w:hAnsi="仿宋_GB2312" w:eastAsia="仿宋_GB2312" w:cs="仿宋_GB2312"/>
          <w:i w:val="0"/>
          <w:iCs w:val="0"/>
          <w:caps w:val="0"/>
          <w:color w:val="1F343B"/>
          <w:spacing w:val="0"/>
          <w:sz w:val="32"/>
          <w:szCs w:val="32"/>
          <w:shd w:val="clear" w:fill="FFFFFF"/>
        </w:rPr>
        <w:t>年中追加</w:t>
      </w:r>
      <w:r>
        <w:rPr>
          <w:rFonts w:hint="eastAsia" w:ascii="仿宋_GB2312" w:hAnsi="仿宋_GB2312" w:eastAsia="仿宋_GB2312" w:cs="仿宋_GB2312"/>
          <w:i w:val="0"/>
          <w:iCs w:val="0"/>
          <w:caps w:val="0"/>
          <w:color w:val="1F343B"/>
          <w:spacing w:val="0"/>
          <w:sz w:val="32"/>
          <w:szCs w:val="32"/>
          <w:shd w:val="clear" w:fill="FFFFFF"/>
          <w:lang w:eastAsia="zh-CN"/>
        </w:rPr>
        <w:t>四个科技计划项目，分别为：</w:t>
      </w:r>
      <w:r>
        <w:rPr>
          <w:rFonts w:hint="eastAsia" w:ascii="仿宋_GB2312" w:hAnsi="仿宋_GB2312" w:eastAsia="仿宋_GB2312" w:cs="仿宋_GB2312"/>
          <w:i w:val="0"/>
          <w:iCs w:val="0"/>
          <w:caps w:val="0"/>
          <w:color w:val="1F343B"/>
          <w:spacing w:val="0"/>
          <w:sz w:val="32"/>
          <w:szCs w:val="32"/>
          <w:highlight w:val="none"/>
          <w:shd w:val="clear" w:fill="FFFFFF"/>
        </w:rPr>
        <w:t>新疆人才发展基金2025年度第二轮支持资金—“天山英才”培养计划</w:t>
      </w:r>
      <w:r>
        <w:rPr>
          <w:rFonts w:hint="eastAsia" w:ascii="仿宋_GB2312" w:hAnsi="仿宋_GB2312" w:eastAsia="仿宋_GB2312" w:cs="仿宋_GB2312"/>
          <w:i w:val="0"/>
          <w:iCs w:val="0"/>
          <w:caps w:val="0"/>
          <w:color w:val="1F343B"/>
          <w:spacing w:val="0"/>
          <w:sz w:val="32"/>
          <w:szCs w:val="32"/>
          <w:shd w:val="clear" w:fill="FFFFFF"/>
        </w:rPr>
        <w:t>项目</w:t>
      </w:r>
      <w:r>
        <w:rPr>
          <w:rFonts w:hint="eastAsia" w:ascii="仿宋_GB2312" w:hAnsi="仿宋_GB2312" w:eastAsia="仿宋_GB2312" w:cs="仿宋_GB2312"/>
          <w:i w:val="0"/>
          <w:iCs w:val="0"/>
          <w:caps w:val="0"/>
          <w:color w:val="1F343B"/>
          <w:spacing w:val="0"/>
          <w:sz w:val="32"/>
          <w:szCs w:val="32"/>
          <w:shd w:val="clear" w:fill="FFFFFF"/>
          <w:lang w:eastAsia="zh-CN"/>
        </w:rPr>
        <w:t>；新疆人才发展基金2025年度第二轮支持资金—科研创新平台人才团队支持计划项目；新疆人才发展基金2025年度第一轮支持资金—天山英才培养计划项目；新疆人才发展基金2025年度第二轮支持资金—智力援疆创新拓展人才计划项目，</w:t>
      </w:r>
      <w:r>
        <w:rPr>
          <w:rFonts w:hint="eastAsia" w:ascii="仿宋_GB2312" w:hAnsi="仿宋_GB2312" w:eastAsia="仿宋_GB2312" w:cs="仿宋_GB2312"/>
          <w:i w:val="0"/>
          <w:iCs w:val="0"/>
          <w:caps w:val="0"/>
          <w:color w:val="1F343B"/>
          <w:spacing w:val="0"/>
          <w:sz w:val="32"/>
          <w:szCs w:val="32"/>
          <w:shd w:val="clear" w:fill="FFFFFF"/>
        </w:rPr>
        <w:t>导致预决算存在差异</w:t>
      </w:r>
      <w:r>
        <w:rPr>
          <w:rFonts w:hint="eastAsia" w:ascii="仿宋_GB2312" w:hAnsi="仿宋_GB2312" w:eastAsia="仿宋_GB2312" w:cs="仿宋_GB2312"/>
          <w:i w:val="0"/>
          <w:iCs w:val="0"/>
          <w:caps w:val="0"/>
          <w:color w:val="1F343B"/>
          <w:spacing w:val="0"/>
          <w:sz w:val="32"/>
          <w:szCs w:val="32"/>
          <w:shd w:val="clear" w:fill="FFFFFF"/>
          <w:lang w:eastAsia="zh-CN"/>
        </w:rPr>
        <w:t>；</w:t>
      </w:r>
      <w:r>
        <w:rPr>
          <w:rFonts w:hint="eastAsia" w:ascii="仿宋_GB2312" w:hAnsi="仿宋_GB2312" w:eastAsia="仿宋_GB2312" w:cs="仿宋_GB2312"/>
          <w:i w:val="0"/>
          <w:iCs w:val="0"/>
          <w:caps w:val="0"/>
          <w:color w:val="1F343B"/>
          <w:spacing w:val="0"/>
          <w:sz w:val="32"/>
          <w:szCs w:val="32"/>
          <w:shd w:val="clear" w:fill="FFFFFF"/>
        </w:rPr>
        <w:t>年中追加人员工资、社保、公积金基数调增部分资金，导致预决算存在差异</w:t>
      </w:r>
      <w:r>
        <w:rPr>
          <w:rFonts w:hint="eastAsia" w:ascii="仿宋_GB2312" w:hAnsi="仿宋_GB2312" w:eastAsia="仿宋_GB2312" w:cs="仿宋_GB2312"/>
          <w:i w:val="0"/>
          <w:iCs w:val="0"/>
          <w:caps w:val="0"/>
          <w:color w:val="1F343B"/>
          <w:spacing w:val="0"/>
          <w:sz w:val="32"/>
          <w:szCs w:val="32"/>
          <w:shd w:val="clear" w:fill="FFFFFF"/>
          <w:lang w:eastAsia="zh-CN"/>
        </w:rPr>
        <w:t>。</w:t>
      </w:r>
    </w:p>
    <w:p w14:paraId="764580B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（二）一般公共预算财政拨款支出决算结构情况</w:t>
      </w:r>
    </w:p>
    <w:p w14:paraId="6F5124E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1.科学技术支出（类）3,919.46万元，占98.12%。</w:t>
      </w:r>
    </w:p>
    <w:p w14:paraId="6DC0AC0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2.农林水支出（类）75.00万元，占1.88%。</w:t>
      </w:r>
    </w:p>
    <w:p w14:paraId="7FB14A2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（三）一般公共预算财政拨款支出决算具体情况</w:t>
      </w:r>
    </w:p>
    <w:p w14:paraId="3B523DD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1</w:t>
      </w:r>
      <w:r>
        <w:rPr>
          <w:rFonts w:hint="eastAsia" w:ascii="仿宋_GB2312" w:eastAsia="仿宋_GB2312"/>
          <w:b w:val="0"/>
          <w:sz w:val="32"/>
          <w:szCs w:val="32"/>
          <w:lang w:eastAsia="zh-CN"/>
        </w:rPr>
        <w:t>.</w:t>
      </w:r>
      <w:r>
        <w:rPr>
          <w:rFonts w:ascii="仿宋_GB2312" w:eastAsia="仿宋_GB2312"/>
          <w:b w:val="0"/>
          <w:sz w:val="32"/>
          <w:szCs w:val="32"/>
        </w:rPr>
        <w:t>学技术支出（类）基础研究（款）科技人才队伍建设（项）：支出决算数为369.00万元，比上年决算增加169.00万元，增长84.50%，主要原因是：</w:t>
      </w:r>
      <w:r>
        <w:rPr>
          <w:rFonts w:hint="eastAsia" w:ascii="仿宋_GB2312" w:eastAsia="仿宋_GB2312"/>
          <w:b w:val="0"/>
          <w:sz w:val="32"/>
          <w:szCs w:val="32"/>
          <w:lang w:val="en-US" w:eastAsia="zh-CN"/>
        </w:rPr>
        <w:t>较上年增加</w:t>
      </w:r>
      <w:r>
        <w:rPr>
          <w:rFonts w:ascii="仿宋_GB2312" w:eastAsia="仿宋_GB2312"/>
          <w:b w:val="0"/>
          <w:sz w:val="32"/>
          <w:szCs w:val="32"/>
        </w:rPr>
        <w:t>新疆人才发展基金2025年度第二轮支持资金—“天山英才”培养计划</w:t>
      </w:r>
      <w:r>
        <w:rPr>
          <w:rFonts w:hint="eastAsia" w:ascii="仿宋_GB2312" w:eastAsia="仿宋_GB2312"/>
          <w:b w:val="0"/>
          <w:sz w:val="32"/>
          <w:szCs w:val="32"/>
          <w:lang w:val="en-US" w:eastAsia="zh-CN"/>
        </w:rPr>
        <w:t>项目</w:t>
      </w:r>
      <w:r>
        <w:rPr>
          <w:rFonts w:hint="eastAsia" w:ascii="仿宋_GB2312" w:eastAsia="仿宋_GB2312"/>
          <w:b w:val="0"/>
          <w:sz w:val="32"/>
          <w:szCs w:val="32"/>
          <w:lang w:eastAsia="zh-CN"/>
        </w:rPr>
        <w:t>、</w:t>
      </w:r>
      <w:r>
        <w:rPr>
          <w:rFonts w:ascii="仿宋_GB2312" w:eastAsia="仿宋_GB2312"/>
          <w:b w:val="0"/>
          <w:sz w:val="32"/>
          <w:szCs w:val="32"/>
        </w:rPr>
        <w:t>新疆人才发展基金2025年度第二轮支持资金—科研创新平台人才团队支持计划</w:t>
      </w:r>
      <w:r>
        <w:rPr>
          <w:rFonts w:hint="eastAsia" w:ascii="仿宋_GB2312" w:eastAsia="仿宋_GB2312"/>
          <w:b w:val="0"/>
          <w:sz w:val="32"/>
          <w:szCs w:val="32"/>
          <w:lang w:val="en-US" w:eastAsia="zh-CN"/>
        </w:rPr>
        <w:t>项目</w:t>
      </w:r>
      <w:r>
        <w:rPr>
          <w:rFonts w:hint="eastAsia" w:ascii="仿宋_GB2312" w:eastAsia="仿宋_GB2312"/>
          <w:b w:val="0"/>
          <w:sz w:val="32"/>
          <w:szCs w:val="32"/>
          <w:lang w:eastAsia="zh-CN"/>
        </w:rPr>
        <w:t>、</w:t>
      </w:r>
      <w:r>
        <w:rPr>
          <w:rFonts w:ascii="仿宋_GB2312" w:eastAsia="仿宋_GB2312"/>
          <w:b w:val="0"/>
          <w:sz w:val="32"/>
          <w:szCs w:val="32"/>
        </w:rPr>
        <w:t>新疆人才发展基金2025年度第一轮支持资金—天山英才培养计划</w:t>
      </w:r>
      <w:r>
        <w:rPr>
          <w:rFonts w:hint="eastAsia" w:ascii="仿宋_GB2312" w:eastAsia="仿宋_GB2312"/>
          <w:b w:val="0"/>
          <w:sz w:val="32"/>
          <w:szCs w:val="32"/>
          <w:lang w:val="en-US" w:eastAsia="zh-CN"/>
        </w:rPr>
        <w:t>项目</w:t>
      </w:r>
      <w:r>
        <w:rPr>
          <w:rFonts w:ascii="仿宋_GB2312" w:eastAsia="仿宋_GB2312"/>
          <w:b w:val="0"/>
          <w:sz w:val="32"/>
          <w:szCs w:val="32"/>
        </w:rPr>
        <w:t>。</w:t>
      </w:r>
    </w:p>
    <w:p w14:paraId="189B5D8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2</w:t>
      </w:r>
      <w:r>
        <w:rPr>
          <w:rFonts w:hint="eastAsia" w:ascii="仿宋_GB2312" w:eastAsia="仿宋_GB2312"/>
          <w:b w:val="0"/>
          <w:sz w:val="32"/>
          <w:szCs w:val="32"/>
          <w:lang w:eastAsia="zh-CN"/>
        </w:rPr>
        <w:t>.</w:t>
      </w:r>
      <w:r>
        <w:rPr>
          <w:rFonts w:ascii="仿宋_GB2312" w:eastAsia="仿宋_GB2312"/>
          <w:b w:val="0"/>
          <w:sz w:val="32"/>
          <w:szCs w:val="32"/>
        </w:rPr>
        <w:t>科学技术支出（类）应用研究（款）机构运行（项）：支出决算数为3,550.46万元，比上年决算增加210.67万元，增长6.31%，主要原因是：</w:t>
      </w:r>
      <w:r>
        <w:rPr>
          <w:rFonts w:hint="eastAsia" w:ascii="仿宋_GB2312" w:eastAsia="仿宋_GB2312"/>
          <w:b w:val="0"/>
          <w:sz w:val="32"/>
          <w:szCs w:val="32"/>
          <w:lang w:eastAsia="zh-CN"/>
        </w:rPr>
        <w:t>本年在职人员工资调增，导致相关人员经费较上年有所增加</w:t>
      </w:r>
      <w:r>
        <w:rPr>
          <w:rFonts w:ascii="仿宋_GB2312" w:eastAsia="仿宋_GB2312"/>
          <w:b w:val="0"/>
          <w:sz w:val="32"/>
          <w:szCs w:val="32"/>
        </w:rPr>
        <w:t>。</w:t>
      </w:r>
    </w:p>
    <w:p w14:paraId="154342FD">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仿宋_GB2312" w:eastAsia="仿宋_GB2312"/>
          <w:b w:val="0"/>
          <w:sz w:val="32"/>
          <w:szCs w:val="32"/>
        </w:rPr>
        <w:t>3</w:t>
      </w:r>
      <w:r>
        <w:rPr>
          <w:rFonts w:hint="eastAsia" w:ascii="仿宋_GB2312" w:eastAsia="仿宋_GB2312"/>
          <w:b w:val="0"/>
          <w:sz w:val="32"/>
          <w:szCs w:val="32"/>
          <w:lang w:eastAsia="zh-CN"/>
        </w:rPr>
        <w:t>.</w:t>
      </w:r>
      <w:r>
        <w:rPr>
          <w:rFonts w:ascii="仿宋_GB2312" w:eastAsia="仿宋_GB2312"/>
          <w:b w:val="0"/>
          <w:sz w:val="32"/>
          <w:szCs w:val="32"/>
        </w:rPr>
        <w:t>农林水支出（类）农业农村（款）科技转化与推广服务（项）：支出决算数为15.00万元，比上年决算增加15.00万元，增长100.00%，主要原因是：</w:t>
      </w:r>
      <w:r>
        <w:rPr>
          <w:rFonts w:hint="eastAsia" w:ascii="仿宋_GB2312" w:hAnsi="仿宋_GB2312" w:eastAsia="仿宋_GB2312" w:cs="仿宋_GB2312"/>
          <w:sz w:val="32"/>
          <w:szCs w:val="32"/>
          <w:lang w:val="en-US" w:eastAsia="zh-CN"/>
        </w:rPr>
        <w:t>较上年增加</w:t>
      </w:r>
      <w:r>
        <w:rPr>
          <w:rFonts w:hint="eastAsia" w:ascii="仿宋_GB2312" w:hAnsi="仿宋_GB2312" w:eastAsia="仿宋_GB2312" w:cs="仿宋_GB2312"/>
          <w:b w:val="0"/>
          <w:sz w:val="32"/>
          <w:szCs w:val="32"/>
        </w:rPr>
        <w:t>新疆人才发展基金2025年度第二轮支持资金—“天山英才”培养计划项目</w:t>
      </w:r>
      <w:r>
        <w:rPr>
          <w:rFonts w:ascii="仿宋_GB2312" w:eastAsia="仿宋_GB2312"/>
          <w:b w:val="0"/>
          <w:sz w:val="32"/>
          <w:szCs w:val="32"/>
        </w:rPr>
        <w:t>。</w:t>
      </w:r>
    </w:p>
    <w:p w14:paraId="39965FE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sz w:val="32"/>
          <w:szCs w:val="32"/>
          <w:lang w:eastAsia="zh-CN"/>
        </w:rPr>
      </w:pPr>
      <w:r>
        <w:rPr>
          <w:rFonts w:ascii="仿宋_GB2312" w:eastAsia="仿宋_GB2312"/>
          <w:b w:val="0"/>
          <w:sz w:val="32"/>
          <w:szCs w:val="32"/>
        </w:rPr>
        <w:t>4</w:t>
      </w:r>
      <w:r>
        <w:rPr>
          <w:rFonts w:hint="eastAsia" w:ascii="仿宋_GB2312" w:eastAsia="仿宋_GB2312"/>
          <w:b w:val="0"/>
          <w:sz w:val="32"/>
          <w:szCs w:val="32"/>
          <w:lang w:eastAsia="zh-CN"/>
        </w:rPr>
        <w:t>.</w:t>
      </w:r>
      <w:r>
        <w:rPr>
          <w:rFonts w:ascii="仿宋_GB2312" w:eastAsia="仿宋_GB2312"/>
          <w:b w:val="0"/>
          <w:sz w:val="32"/>
          <w:szCs w:val="32"/>
        </w:rPr>
        <w:t>农林水支出（类）水利（款）水资源节约管理与保护（项）：支出决算数为60.00万元，比上年决算增加23.00万元，增长62.16%，主要原因是：</w:t>
      </w:r>
      <w:r>
        <w:rPr>
          <w:rFonts w:hint="eastAsia" w:ascii="仿宋_GB2312" w:eastAsia="仿宋_GB2312"/>
          <w:b w:val="0"/>
          <w:sz w:val="32"/>
          <w:szCs w:val="32"/>
          <w:lang w:eastAsia="zh-CN"/>
        </w:rPr>
        <w:t>较上年增加新疆人才发展基金本单位</w:t>
      </w:r>
      <w:r>
        <w:rPr>
          <w:rFonts w:ascii="仿宋_GB2312" w:eastAsia="仿宋_GB2312"/>
          <w:b w:val="0"/>
          <w:sz w:val="32"/>
          <w:szCs w:val="32"/>
        </w:rPr>
        <w:t>承担新疆人才发展基金2025年度第二轮支持资金—智力援疆创新拓展人才计划项目</w:t>
      </w:r>
      <w:r>
        <w:rPr>
          <w:rFonts w:hint="eastAsia" w:ascii="仿宋_GB2312" w:eastAsia="仿宋_GB2312"/>
          <w:b w:val="0"/>
          <w:sz w:val="32"/>
          <w:szCs w:val="32"/>
          <w:lang w:eastAsia="zh-CN"/>
        </w:rPr>
        <w:t>。</w:t>
      </w:r>
    </w:p>
    <w:p w14:paraId="19E8DE3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14:paraId="76DE378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2025年度一般公共预算财政拨款基本支出3,550.46万元，其中：</w:t>
      </w:r>
      <w:r>
        <w:rPr>
          <w:rFonts w:ascii="仿宋_GB2312" w:eastAsia="仿宋_GB2312"/>
          <w:b/>
          <w:bCs/>
          <w:sz w:val="32"/>
          <w:szCs w:val="32"/>
        </w:rPr>
        <w:t>人员经费3,352.02万元，</w:t>
      </w:r>
      <w:r>
        <w:rPr>
          <w:rFonts w:ascii="仿宋_GB2312" w:eastAsia="仿宋_GB2312"/>
          <w:b w:val="0"/>
          <w:sz w:val="32"/>
          <w:szCs w:val="32"/>
        </w:rPr>
        <w:t>包括：基本工资、津贴补贴、奖金、绩效工资、机关事业单位基本养老保险缴费、职业年金缴费、职工基本医疗保险缴费、公务员医疗补助缴费、其他社会保障缴费、住房公积金、离休费、退休费、抚恤金和其他对个人和家庭的补助。</w:t>
      </w:r>
    </w:p>
    <w:p w14:paraId="4DD910D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公用经费198.44万元，</w:t>
      </w:r>
      <w:r>
        <w:rPr>
          <w:rFonts w:ascii="仿宋_GB2312" w:eastAsia="仿宋_GB2312"/>
          <w:b w:val="0"/>
          <w:sz w:val="32"/>
          <w:szCs w:val="32"/>
        </w:rPr>
        <w:t>包括：办公费、水费、电费、邮电费、取暖费、差旅费、工会经费、福利费、其他交通费用和其他商品和服务支出。</w:t>
      </w:r>
    </w:p>
    <w:p w14:paraId="6F70B04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14:paraId="27F0AF3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43B07D8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14:paraId="15F15AA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6E36B0A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14:paraId="4873EF6B">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2025年度财政拨款“三公”经费支出0.00万元，</w:t>
      </w:r>
      <w:r>
        <w:rPr>
          <w:rFonts w:hint="eastAsia" w:ascii="仿宋_GB2312" w:hAnsi="仿宋_GB2312" w:eastAsia="仿宋_GB2312" w:cs="仿宋_GB2312"/>
          <w:b w:val="0"/>
          <w:sz w:val="32"/>
          <w:szCs w:val="32"/>
        </w:rPr>
        <w:t>与上年相比无变化，主要原因是：</w:t>
      </w:r>
      <w:r>
        <w:rPr>
          <w:rFonts w:hint="eastAsia" w:ascii="仿宋_GB2312" w:hAnsi="仿宋_GB2312" w:eastAsia="仿宋_GB2312" w:cs="仿宋_GB2312"/>
          <w:sz w:val="32"/>
          <w:szCs w:val="32"/>
          <w:highlight w:val="none"/>
        </w:rPr>
        <w:t>2024年与2025年均无财政拨款“三公”经费支出</w:t>
      </w:r>
      <w:r>
        <w:rPr>
          <w:rFonts w:hint="eastAsia" w:ascii="仿宋_GB2312" w:hAnsi="仿宋_GB2312" w:eastAsia="仿宋_GB2312" w:cs="仿宋_GB2312"/>
          <w:b w:val="0"/>
          <w:sz w:val="32"/>
          <w:szCs w:val="32"/>
        </w:rPr>
        <w:t>。其中：因公出国（境）费用支出0.00万元,占0.00%，与上年相比无变化，主要原因是：</w:t>
      </w:r>
      <w:r>
        <w:rPr>
          <w:rFonts w:hint="eastAsia" w:ascii="仿宋_GB2312" w:hAnsi="仿宋_GB2312" w:eastAsia="仿宋_GB2312" w:cs="仿宋_GB2312"/>
          <w:sz w:val="32"/>
          <w:szCs w:val="32"/>
          <w:highlight w:val="none"/>
        </w:rPr>
        <w:t>2024年与2025年均无因公出国（境）费用支出</w:t>
      </w:r>
      <w:r>
        <w:rPr>
          <w:rFonts w:hint="eastAsia" w:ascii="仿宋_GB2312" w:hAnsi="仿宋_GB2312" w:eastAsia="仿宋_GB2312" w:cs="仿宋_GB2312"/>
          <w:b w:val="0"/>
          <w:sz w:val="32"/>
          <w:szCs w:val="32"/>
        </w:rPr>
        <w:t>；公务用车购置及运行维护费支出0.00万元，占0.00%，与上年相比无变化，主要原因是：</w:t>
      </w:r>
      <w:r>
        <w:rPr>
          <w:rFonts w:hint="eastAsia" w:ascii="仿宋_GB2312" w:hAnsi="仿宋_GB2312" w:eastAsia="仿宋_GB2312" w:cs="仿宋_GB2312"/>
          <w:sz w:val="32"/>
          <w:szCs w:val="32"/>
          <w:highlight w:val="none"/>
        </w:rPr>
        <w:t>2024年与2025年均无</w:t>
      </w:r>
      <w:r>
        <w:rPr>
          <w:rFonts w:hint="eastAsia" w:ascii="仿宋_GB2312" w:hAnsi="仿宋_GB2312" w:eastAsia="仿宋_GB2312" w:cs="仿宋_GB2312"/>
          <w:b w:val="0"/>
          <w:sz w:val="32"/>
          <w:szCs w:val="32"/>
        </w:rPr>
        <w:t>公务用车购置及运行维护费；公务接待费支出0.00万元，占0.00%，与上年相比无变化，主要原因是：</w:t>
      </w:r>
      <w:r>
        <w:rPr>
          <w:rFonts w:hint="eastAsia" w:ascii="仿宋_GB2312" w:hAnsi="仿宋_GB2312" w:eastAsia="仿宋_GB2312" w:cs="仿宋_GB2312"/>
          <w:sz w:val="32"/>
          <w:szCs w:val="32"/>
          <w:highlight w:val="none"/>
        </w:rPr>
        <w:t>2024年与2025年均无</w:t>
      </w:r>
      <w:r>
        <w:rPr>
          <w:rFonts w:hint="eastAsia" w:ascii="仿宋_GB2312" w:hAnsi="仿宋_GB2312" w:eastAsia="仿宋_GB2312" w:cs="仿宋_GB2312"/>
          <w:b w:val="0"/>
          <w:sz w:val="32"/>
          <w:szCs w:val="32"/>
        </w:rPr>
        <w:t>公务接待费。</w:t>
      </w:r>
    </w:p>
    <w:p w14:paraId="35D522B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b/>
          <w:bCs/>
          <w:sz w:val="32"/>
          <w:szCs w:val="32"/>
        </w:rPr>
      </w:pPr>
      <w:r>
        <w:rPr>
          <w:rFonts w:ascii="仿宋_GB2312" w:eastAsia="仿宋_GB2312"/>
          <w:b/>
          <w:bCs/>
          <w:sz w:val="32"/>
          <w:szCs w:val="32"/>
        </w:rPr>
        <w:t>具体情况如下：</w:t>
      </w:r>
    </w:p>
    <w:p w14:paraId="7C4A93E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因公出国（境）费用0.00万元，开支内容包括</w:t>
      </w:r>
      <w:r>
        <w:rPr>
          <w:rFonts w:hint="eastAsia" w:ascii="仿宋_GB2312" w:eastAsia="仿宋_GB2312"/>
          <w:b w:val="0"/>
          <w:sz w:val="32"/>
          <w:szCs w:val="32"/>
          <w:lang w:eastAsia="zh-CN"/>
        </w:rPr>
        <w:t>本单位</w:t>
      </w:r>
      <w:r>
        <w:rPr>
          <w:rFonts w:ascii="仿宋_GB2312" w:eastAsia="仿宋_GB2312"/>
          <w:b w:val="0"/>
          <w:sz w:val="32"/>
          <w:szCs w:val="32"/>
        </w:rPr>
        <w:t>无因公出国（境）费。单位全年安排的因公出国（境）团组0个，因公出国（境）0人次。</w:t>
      </w:r>
    </w:p>
    <w:p w14:paraId="45FE031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w:t>
      </w:r>
      <w:r>
        <w:rPr>
          <w:rFonts w:hint="eastAsia" w:ascii="仿宋_GB2312" w:eastAsia="仿宋_GB2312"/>
          <w:b w:val="0"/>
          <w:sz w:val="32"/>
          <w:szCs w:val="32"/>
          <w:lang w:eastAsia="zh-CN"/>
        </w:rPr>
        <w:t>本单位</w:t>
      </w:r>
      <w:r>
        <w:rPr>
          <w:rFonts w:ascii="仿宋_GB2312" w:eastAsia="仿宋_GB2312"/>
          <w:b w:val="0"/>
          <w:sz w:val="32"/>
          <w:szCs w:val="32"/>
        </w:rPr>
        <w:t>未发生公务用车运行维护费。公务用车购置数0辆，公务用车保有量0辆。国有资产占用情况中固定资产车辆10辆，与公务用车保有量差异原因是：</w:t>
      </w:r>
      <w:r>
        <w:rPr>
          <w:rFonts w:hint="eastAsia" w:ascii="仿宋_GB2312" w:eastAsia="仿宋_GB2312"/>
          <w:sz w:val="32"/>
          <w:szCs w:val="32"/>
        </w:rPr>
        <w:t>差异车辆为单位业务用车，车辆费用未使用财政拨款公务用车运行维护费支付</w:t>
      </w:r>
      <w:r>
        <w:rPr>
          <w:rFonts w:hint="eastAsia" w:ascii="仿宋_GB2312" w:eastAsia="仿宋_GB2312"/>
          <w:sz w:val="32"/>
          <w:szCs w:val="32"/>
          <w:lang w:eastAsia="zh-CN"/>
        </w:rPr>
        <w:t>，</w:t>
      </w:r>
      <w:r>
        <w:rPr>
          <w:rFonts w:hint="eastAsia" w:ascii="仿宋_GB2312" w:eastAsia="仿宋_GB2312"/>
          <w:sz w:val="32"/>
          <w:szCs w:val="32"/>
        </w:rPr>
        <w:t>由</w:t>
      </w:r>
      <w:r>
        <w:rPr>
          <w:rFonts w:ascii="仿宋_GB2312" w:eastAsia="仿宋_GB2312"/>
          <w:b w:val="0"/>
          <w:sz w:val="32"/>
          <w:szCs w:val="32"/>
        </w:rPr>
        <w:t>单位自有资金</w:t>
      </w:r>
      <w:r>
        <w:rPr>
          <w:rFonts w:hint="eastAsia" w:ascii="仿宋_GB2312" w:eastAsia="仿宋_GB2312"/>
          <w:sz w:val="32"/>
          <w:szCs w:val="32"/>
        </w:rPr>
        <w:t>经费保障</w:t>
      </w:r>
      <w:r>
        <w:rPr>
          <w:rFonts w:ascii="仿宋_GB2312" w:eastAsia="仿宋_GB2312"/>
          <w:b w:val="0"/>
          <w:sz w:val="32"/>
          <w:szCs w:val="32"/>
        </w:rPr>
        <w:t>。</w:t>
      </w:r>
    </w:p>
    <w:p w14:paraId="09AEACE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eastAsia="zh-CN"/>
        </w:rPr>
        <w:t>本单位</w:t>
      </w:r>
      <w:r>
        <w:rPr>
          <w:rFonts w:ascii="仿宋_GB2312" w:eastAsia="仿宋_GB2312"/>
          <w:b w:val="0"/>
          <w:sz w:val="32"/>
          <w:szCs w:val="32"/>
        </w:rPr>
        <w:t>未发生公务接待费。单位全年安排的国内公务接待0批次，0人次。</w:t>
      </w:r>
    </w:p>
    <w:p w14:paraId="38B1E99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与全年预算相比，</w:t>
      </w:r>
      <w:r>
        <w:rPr>
          <w:rFonts w:ascii="仿宋_GB2312" w:eastAsia="仿宋_GB2312"/>
          <w:b w:val="0"/>
          <w:sz w:val="32"/>
          <w:szCs w:val="32"/>
        </w:rPr>
        <w:t>财政拨款“三公”经费支出全年预算数0.00万元，决算数0.00万元，预决算差异率0.00%，主要原因是：</w:t>
      </w:r>
      <w:r>
        <w:rPr>
          <w:rFonts w:hint="eastAsia" w:ascii="仿宋_GB2312" w:eastAsia="仿宋_GB2312"/>
          <w:b w:val="0"/>
          <w:sz w:val="32"/>
          <w:szCs w:val="32"/>
          <w:lang w:eastAsia="zh-CN"/>
        </w:rPr>
        <w:t>本单位</w:t>
      </w:r>
      <w:r>
        <w:rPr>
          <w:rFonts w:ascii="仿宋_GB2312" w:eastAsia="仿宋_GB2312"/>
          <w:b w:val="0"/>
          <w:sz w:val="32"/>
          <w:szCs w:val="32"/>
        </w:rPr>
        <w:t>未发生“三公”经费支出。其中：因公出国（境）费用全年预算数0.00万元，决算数0.00万元，预决算差异率0.00%，主要原因是：</w:t>
      </w:r>
      <w:r>
        <w:rPr>
          <w:rFonts w:hint="eastAsia" w:ascii="仿宋_GB2312" w:eastAsia="仿宋_GB2312"/>
          <w:b w:val="0"/>
          <w:sz w:val="32"/>
          <w:szCs w:val="32"/>
          <w:lang w:eastAsia="zh-CN"/>
        </w:rPr>
        <w:t>本单位</w:t>
      </w:r>
      <w:r>
        <w:rPr>
          <w:rFonts w:ascii="仿宋_GB2312" w:eastAsia="仿宋_GB2312"/>
          <w:b w:val="0"/>
          <w:sz w:val="32"/>
          <w:szCs w:val="32"/>
        </w:rPr>
        <w:t>未发生因公出国（境）费用；公务用车购置费全年预算数0.00万元，决算数0.00万元，预决算差异率0.00%，主要原因是：</w:t>
      </w:r>
      <w:r>
        <w:rPr>
          <w:rFonts w:hint="eastAsia" w:ascii="仿宋_GB2312" w:eastAsia="仿宋_GB2312"/>
          <w:b w:val="0"/>
          <w:sz w:val="32"/>
          <w:szCs w:val="32"/>
          <w:lang w:eastAsia="zh-CN"/>
        </w:rPr>
        <w:t>本单位</w:t>
      </w:r>
      <w:r>
        <w:rPr>
          <w:rFonts w:ascii="仿宋_GB2312" w:eastAsia="仿宋_GB2312"/>
          <w:b w:val="0"/>
          <w:sz w:val="32"/>
          <w:szCs w:val="32"/>
        </w:rPr>
        <w:t>未发生公务用车购置费；公务用车运行维护费全年预算数0.00万元，决算数0.00万元，预决算差异率0.00%，主要原因是：</w:t>
      </w:r>
      <w:r>
        <w:rPr>
          <w:rFonts w:hint="eastAsia" w:ascii="仿宋_GB2312" w:eastAsia="仿宋_GB2312"/>
          <w:b w:val="0"/>
          <w:sz w:val="32"/>
          <w:szCs w:val="32"/>
          <w:lang w:eastAsia="zh-CN"/>
        </w:rPr>
        <w:t>本单位</w:t>
      </w:r>
      <w:r>
        <w:rPr>
          <w:rFonts w:ascii="仿宋_GB2312" w:eastAsia="仿宋_GB2312"/>
          <w:b w:val="0"/>
          <w:sz w:val="32"/>
          <w:szCs w:val="32"/>
        </w:rPr>
        <w:t>未发生公务用车运行维护费；公务接待费全年预算数0.00万元，决算数0.00万元，预决算差异率0.00%，主要原因是：</w:t>
      </w:r>
      <w:r>
        <w:rPr>
          <w:rFonts w:hint="eastAsia" w:ascii="仿宋_GB2312" w:eastAsia="仿宋_GB2312"/>
          <w:b w:val="0"/>
          <w:sz w:val="32"/>
          <w:szCs w:val="32"/>
          <w:lang w:eastAsia="zh-CN"/>
        </w:rPr>
        <w:t>本单位</w:t>
      </w:r>
      <w:r>
        <w:rPr>
          <w:rFonts w:ascii="仿宋_GB2312" w:eastAsia="仿宋_GB2312"/>
          <w:b w:val="0"/>
          <w:sz w:val="32"/>
          <w:szCs w:val="32"/>
        </w:rPr>
        <w:t>未发生公务接待费。</w:t>
      </w:r>
    </w:p>
    <w:p w14:paraId="5528757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14:paraId="463A3D3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（一）机关运行经费及公用经费支出情况</w:t>
      </w:r>
    </w:p>
    <w:p w14:paraId="6E7CB2C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sz w:val="32"/>
          <w:szCs w:val="32"/>
          <w:lang w:eastAsia="zh-CN"/>
        </w:rPr>
      </w:pPr>
      <w:r>
        <w:rPr>
          <w:rFonts w:ascii="仿宋_GB2312" w:eastAsia="仿宋_GB2312"/>
          <w:b w:val="0"/>
          <w:sz w:val="32"/>
          <w:szCs w:val="32"/>
        </w:rPr>
        <w:t>2025年度新疆维吾尔自治区水利水电科学研究院（事业单位）公用经费支出198.44万元，比上年减少9.37万元，下降4.51%，主要原因是：减少人员工资福利支出、差旅费、办公费、福利费、工会经费的支出</w:t>
      </w:r>
      <w:r>
        <w:rPr>
          <w:rFonts w:hint="eastAsia" w:ascii="仿宋_GB2312" w:eastAsia="仿宋_GB2312"/>
          <w:b w:val="0"/>
          <w:sz w:val="32"/>
          <w:szCs w:val="32"/>
          <w:lang w:eastAsia="zh-CN"/>
        </w:rPr>
        <w:t>。</w:t>
      </w:r>
    </w:p>
    <w:p w14:paraId="264E8FA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（二）政府采购情况</w:t>
      </w:r>
    </w:p>
    <w:p w14:paraId="7C56598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2025年度政府采购支出总额466.84万元，其中：政府采购货物支出463.94万元、政府采购工程支出0.00万元、政府采购服务支出2.90万元。</w:t>
      </w:r>
    </w:p>
    <w:p w14:paraId="10C755B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授予中小企业合同金额466.15万元，占政府采购支出总额的99.85%，其中：授予小微企业合同金额466.15万元，占政府采购支出总额的99.85%。</w:t>
      </w:r>
    </w:p>
    <w:p w14:paraId="623123B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（三）国有资产占用情况说明</w:t>
      </w:r>
    </w:p>
    <w:p w14:paraId="7723A5C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2025年12月31日，房屋9,913.87平方米，价值386.07万元。车辆10辆，价值256.88万元，其中：副部（省）级及以上领导用车0辆、主要负责人用车0辆、机要通信用车0辆、应急保障用车0辆、执法执勤用车0辆、特种专业技术用车0辆、离退休干部服务用车0辆、其他用车10辆，其他用车主要是：</w:t>
      </w:r>
      <w:r>
        <w:rPr>
          <w:rFonts w:hint="eastAsia" w:ascii="仿宋_GB2312" w:eastAsia="仿宋_GB2312"/>
          <w:b w:val="0"/>
          <w:sz w:val="32"/>
          <w:szCs w:val="32"/>
          <w:lang w:val="en-US" w:eastAsia="zh-CN"/>
        </w:rPr>
        <w:t>单位业务用车</w:t>
      </w:r>
      <w:r>
        <w:rPr>
          <w:rFonts w:ascii="仿宋_GB2312" w:eastAsia="仿宋_GB2312"/>
          <w:b w:val="0"/>
          <w:sz w:val="32"/>
          <w:szCs w:val="32"/>
        </w:rPr>
        <w:t>;单价100万元（含）以上设备（不含车辆）2台（套）。</w:t>
      </w:r>
    </w:p>
    <w:p w14:paraId="272654F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14:paraId="70EA0AC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根据预算绩效管理要求，本单位</w:t>
      </w:r>
      <w:r>
        <w:rPr>
          <w:rFonts w:ascii="仿宋_GB2312" w:eastAsia="仿宋_GB2312"/>
          <w:sz w:val="32"/>
          <w:szCs w:val="32"/>
        </w:rPr>
        <w:t>2025年度</w:t>
      </w:r>
      <w:r>
        <w:rPr>
          <w:rFonts w:ascii="仿宋_GB2312" w:eastAsia="仿宋_GB2312"/>
          <w:b w:val="0"/>
          <w:sz w:val="32"/>
          <w:szCs w:val="32"/>
        </w:rPr>
        <w:t>预算绩效评价项目3个，全年预算数8,200</w:t>
      </w:r>
      <w:r>
        <w:rPr>
          <w:rFonts w:hint="eastAsia" w:ascii="仿宋_GB2312" w:eastAsia="仿宋_GB2312"/>
          <w:b w:val="0"/>
          <w:sz w:val="32"/>
          <w:szCs w:val="32"/>
          <w:lang w:val="en-US" w:eastAsia="zh-CN"/>
        </w:rPr>
        <w:t>.00</w:t>
      </w:r>
      <w:r>
        <w:rPr>
          <w:rFonts w:ascii="仿宋_GB2312" w:eastAsia="仿宋_GB2312"/>
          <w:b w:val="0"/>
          <w:sz w:val="32"/>
          <w:szCs w:val="32"/>
        </w:rPr>
        <w:t>万元，全年执行数8,200</w:t>
      </w:r>
      <w:r>
        <w:rPr>
          <w:rFonts w:hint="eastAsia" w:ascii="仿宋_GB2312" w:eastAsia="仿宋_GB2312"/>
          <w:b w:val="0"/>
          <w:sz w:val="32"/>
          <w:szCs w:val="32"/>
          <w:lang w:val="en-US" w:eastAsia="zh-CN"/>
        </w:rPr>
        <w:t>.00</w:t>
      </w:r>
      <w:r>
        <w:rPr>
          <w:rFonts w:ascii="仿宋_GB2312" w:eastAsia="仿宋_GB2312"/>
          <w:b w:val="0"/>
          <w:sz w:val="32"/>
          <w:szCs w:val="32"/>
        </w:rPr>
        <w:t>万元。预算绩效管理取得的成效：一是能够及时总结项目管理经验，进而完善项目管理办法</w:t>
      </w:r>
      <w:r>
        <w:rPr>
          <w:rFonts w:hint="eastAsia" w:ascii="仿宋_GB2312" w:eastAsia="仿宋_GB2312"/>
          <w:b w:val="0"/>
          <w:sz w:val="32"/>
          <w:szCs w:val="32"/>
          <w:lang w:eastAsia="zh-CN"/>
        </w:rPr>
        <w:t>；</w:t>
      </w:r>
      <w:r>
        <w:rPr>
          <w:rFonts w:ascii="仿宋_GB2312" w:eastAsia="仿宋_GB2312"/>
          <w:b w:val="0"/>
          <w:sz w:val="32"/>
          <w:szCs w:val="32"/>
        </w:rPr>
        <w:t>二是评价过程中发现的问题，将促使项目承担单位认真整改，及时调整和完善单位的工作计划与绩效目标，进一步加强项目管理。发现的问题及原因：一是预算结构依赖自有资金，资金稳定性存在风险。当前财政拨款仅覆盖人员及部分公用经费，大部分公用经费和咨询服务项目经费需自筹。随着委托咨询项目市场环境日趋复杂，单位日常运行维护成本逐年上涨，自有资金保障面临较大压力，存在一定的资金稳定性风险；二是支出细项优化空间受限，成本管控仍需加强。维修费、业务委托费在总支出中占比较高，成本支出不够细化。在项目投标与合同审核环节，投入产出的精确计算能力有待提升；外委业务占比较大，单位自主承担项目的能力需进一步强化。此外，资产盘活与材料管理尚不够精细，降本增效的潜力尚未完全释放。下一步改进措施：一是拓宽多元化资金来源，推动“科研+咨询”双轮驱动。积极争取专项科研财政补助，探索产学研合作资金渠道。依托“以科研带咨询”的特色优势，在降低咨询项目成本的同时，提高科研项目产出效率。推动单位咨询业务与科研项目协同发展，不断提升社会公益性科研产出与咨询服务收入；二是深化精细化支出管理，全面提升降本增效水平。建立以业务部门为核算单位的项目成本核算机制，并纳入年度绩效考核，督促各部门落实降本增效要求，盘活存量资产。严格规划委托业务费支出，强化项目投标前的统筹谋划，最大限度承担项目主体工作，提高单位资金留存率。合理安排集中采购，对基建和维修项目做到量入为出、精准概算，杜绝过度投资与投入产出失衡，集中资金办大事</w:t>
      </w:r>
      <w:bookmarkStart w:id="6" w:name="_GoBack"/>
      <w:bookmarkEnd w:id="6"/>
      <w:r>
        <w:rPr>
          <w:rFonts w:ascii="仿宋_GB2312" w:eastAsia="仿宋_GB2312"/>
          <w:b w:val="0"/>
          <w:sz w:val="32"/>
          <w:szCs w:val="32"/>
        </w:rPr>
        <w:t>，系统性优化支出结构。具体附</w:t>
      </w:r>
      <w:r>
        <w:rPr>
          <w:rFonts w:hint="eastAsia" w:ascii="仿宋_GB2312" w:eastAsia="仿宋_GB2312"/>
          <w:b w:val="0"/>
          <w:sz w:val="32"/>
          <w:szCs w:val="32"/>
          <w:lang w:eastAsia="zh-CN"/>
        </w:rPr>
        <w:t>项目</w:t>
      </w:r>
      <w:r>
        <w:rPr>
          <w:rFonts w:ascii="仿宋_GB2312" w:eastAsia="仿宋_GB2312"/>
          <w:b w:val="0"/>
          <w:sz w:val="32"/>
          <w:szCs w:val="32"/>
        </w:rPr>
        <w:t>支出绩效自评表。</w:t>
      </w:r>
    </w:p>
    <w:p w14:paraId="5D30EE7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14:paraId="187E6EE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本单位无其他需说明的事项。</w:t>
      </w:r>
    </w:p>
    <w:p w14:paraId="36863B3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p>
    <w:p w14:paraId="0E6E8EC4">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6B5B799E">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2560" w:firstLineChars="800"/>
        <w:jc w:val="both"/>
        <w:textAlignment w:val="auto"/>
        <w:outlineLvl w:val="0"/>
        <w:rPr>
          <w:rFonts w:ascii="黑体" w:eastAsia="黑体"/>
          <w:b w:val="0"/>
          <w:sz w:val="44"/>
          <w:szCs w:val="44"/>
        </w:rPr>
      </w:pPr>
      <w:bookmarkStart w:id="4" w:name="_Toc30038"/>
      <w:r>
        <w:rPr>
          <w:rFonts w:hint="eastAsia" w:ascii="黑体" w:hAnsi="黑体" w:eastAsia="黑体"/>
          <w:sz w:val="32"/>
          <w:szCs w:val="32"/>
          <w:highlight w:val="none"/>
        </w:rPr>
        <w:t>第</w:t>
      </w:r>
      <w:r>
        <w:rPr>
          <w:rFonts w:hint="eastAsia" w:ascii="黑体" w:hAnsi="黑体" w:eastAsia="黑体"/>
          <w:sz w:val="32"/>
          <w:szCs w:val="32"/>
          <w:highlight w:val="none"/>
          <w:lang w:val="en-US" w:eastAsia="zh-CN"/>
        </w:rPr>
        <w:t>三</w:t>
      </w:r>
      <w:r>
        <w:rPr>
          <w:rFonts w:hint="eastAsia" w:ascii="黑体" w:hAnsi="黑体" w:eastAsia="黑体"/>
          <w:sz w:val="32"/>
          <w:szCs w:val="32"/>
          <w:highlight w:val="none"/>
        </w:rPr>
        <w:t>部分 专业名词解释</w:t>
      </w:r>
      <w:bookmarkEnd w:id="4"/>
    </w:p>
    <w:p w14:paraId="60B5998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一、财政拨款收入：</w:t>
      </w:r>
      <w:r>
        <w:rPr>
          <w:rFonts w:hint="eastAsia" w:ascii="仿宋_GB2312" w:hAnsi="仿宋_GB2312" w:eastAsia="仿宋_GB2312" w:cs="仿宋_GB2312"/>
          <w:b w:val="0"/>
          <w:sz w:val="32"/>
          <w:szCs w:val="32"/>
        </w:rPr>
        <w:t>指单位本年度从同级财政部门取得的财政拨款，包括一般公共预算财政拨款、政府性基金预算财政拨款和国有资本经营预算财政拨款。</w:t>
      </w:r>
    </w:p>
    <w:p w14:paraId="374BF0E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二、上级补助收入：</w:t>
      </w:r>
      <w:r>
        <w:rPr>
          <w:rFonts w:hint="eastAsia" w:ascii="仿宋_GB2312" w:hAnsi="仿宋_GB2312" w:eastAsia="仿宋_GB2312" w:cs="仿宋_GB2312"/>
          <w:b w:val="0"/>
          <w:sz w:val="32"/>
          <w:szCs w:val="32"/>
        </w:rPr>
        <w:t>指事业单位从主管部门和上级单位取得的非财政补助收入。</w:t>
      </w:r>
    </w:p>
    <w:p w14:paraId="06B9679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三、事业收入：</w:t>
      </w:r>
      <w:r>
        <w:rPr>
          <w:rFonts w:hint="eastAsia" w:ascii="仿宋_GB2312" w:hAnsi="仿宋_GB2312" w:eastAsia="仿宋_GB2312" w:cs="仿宋_GB2312"/>
          <w:b w:val="0"/>
          <w:sz w:val="32"/>
          <w:szCs w:val="32"/>
        </w:rPr>
        <w:t>指事业单位开展专业业务活动及其辅助活动取得的收入。</w:t>
      </w:r>
    </w:p>
    <w:p w14:paraId="1E7F3DC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四、经营收入：</w:t>
      </w:r>
      <w:r>
        <w:rPr>
          <w:rFonts w:hint="eastAsia" w:ascii="仿宋_GB2312" w:hAnsi="仿宋_GB2312" w:eastAsia="仿宋_GB2312" w:cs="仿宋_GB2312"/>
          <w:b w:val="0"/>
          <w:sz w:val="32"/>
          <w:szCs w:val="32"/>
        </w:rPr>
        <w:t>指事业单位在专业业务活动及其辅助活动之外开展非独立核算经营活动取得的收入。</w:t>
      </w:r>
    </w:p>
    <w:p w14:paraId="1D7B7DB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五、附属单位上缴收入：</w:t>
      </w:r>
      <w:r>
        <w:rPr>
          <w:rFonts w:hint="eastAsia" w:ascii="仿宋_GB2312" w:hAnsi="仿宋_GB2312" w:eastAsia="仿宋_GB2312" w:cs="仿宋_GB2312"/>
          <w:b w:val="0"/>
          <w:sz w:val="32"/>
          <w:szCs w:val="32"/>
        </w:rPr>
        <w:t>指事业单位附属独立核算单位按照有关规定上缴的收入。</w:t>
      </w:r>
    </w:p>
    <w:p w14:paraId="030B8D9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六、其他收入：</w:t>
      </w:r>
      <w:r>
        <w:rPr>
          <w:rFonts w:hint="eastAsia" w:ascii="仿宋_GB2312" w:hAnsi="仿宋_GB2312" w:eastAsia="仿宋_GB2312" w:cs="仿宋_GB2312"/>
          <w:b w:val="0"/>
          <w:sz w:val="32"/>
          <w:szCs w:val="32"/>
        </w:rPr>
        <w:t>指单位取得的除上述“财政拨款收入”“上级补助收入”“事业收入”“经营收入”“附属单位上缴收入”以外的各项收入。</w:t>
      </w:r>
    </w:p>
    <w:p w14:paraId="1F76990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七、年初结转和结余：</w:t>
      </w:r>
      <w:r>
        <w:rPr>
          <w:rFonts w:hint="eastAsia" w:ascii="仿宋_GB2312" w:hAnsi="仿宋_GB2312" w:eastAsia="仿宋_GB2312" w:cs="仿宋_GB2312"/>
          <w:b w:val="0"/>
          <w:sz w:val="32"/>
          <w:szCs w:val="32"/>
        </w:rPr>
        <w:t>指单位上年结转本年使用的基本支出结转、项目支出结转和结余、经营结余。</w:t>
      </w:r>
    </w:p>
    <w:p w14:paraId="3B5CB22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八、使用非财政拨款结余（含专用结余）：</w:t>
      </w:r>
      <w:r>
        <w:rPr>
          <w:rFonts w:hint="eastAsia" w:ascii="仿宋_GB2312" w:hAnsi="仿宋_GB2312" w:eastAsia="仿宋_GB2312" w:cs="仿宋_GB2312"/>
          <w:b w:val="0"/>
          <w:sz w:val="32"/>
          <w:szCs w:val="32"/>
        </w:rPr>
        <w:t>指单位按照预算管理要求使用非财政拨款结余弥补收支差额的金额，以及使用专用结余安排支出的金额。</w:t>
      </w:r>
    </w:p>
    <w:p w14:paraId="31918A7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九、结余分配</w:t>
      </w:r>
      <w:r>
        <w:rPr>
          <w:rFonts w:hint="eastAsia" w:ascii="仿宋_GB2312" w:hAnsi="仿宋_GB2312" w:eastAsia="仿宋_GB2312" w:cs="仿宋_GB2312"/>
          <w:b w:val="0"/>
          <w:sz w:val="32"/>
          <w:szCs w:val="32"/>
        </w:rPr>
        <w:t>：指单位缴纳企业所得税以及从非财政拨款结余或经营结余中提取各类结余的情况。</w:t>
      </w:r>
    </w:p>
    <w:p w14:paraId="6C47ED6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十、年末结转和结余</w:t>
      </w:r>
      <w:r>
        <w:rPr>
          <w:rFonts w:hint="eastAsia" w:ascii="仿宋_GB2312" w:hAnsi="仿宋_GB2312" w:eastAsia="仿宋_GB2312" w:cs="仿宋_GB2312"/>
          <w:b w:val="0"/>
          <w:sz w:val="32"/>
          <w:szCs w:val="32"/>
        </w:rPr>
        <w:t>：指单位结转下年的基本支出结转、项目支出结转和结余、经营结余。</w:t>
      </w:r>
    </w:p>
    <w:p w14:paraId="525230C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十一、基本支出</w:t>
      </w:r>
      <w:r>
        <w:rPr>
          <w:rFonts w:hint="eastAsia" w:ascii="仿宋_GB2312" w:hAnsi="仿宋_GB2312" w:eastAsia="仿宋_GB2312" w:cs="仿宋_GB2312"/>
          <w:b w:val="0"/>
          <w:sz w:val="32"/>
          <w:szCs w:val="32"/>
        </w:rPr>
        <w:t>：指单位为保障机构正常运转、完成日常工作任务而发生的各项支出。</w:t>
      </w:r>
    </w:p>
    <w:p w14:paraId="0E04B2D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十二、项目支出：</w:t>
      </w:r>
      <w:r>
        <w:rPr>
          <w:rFonts w:hint="eastAsia" w:ascii="仿宋_GB2312" w:hAnsi="仿宋_GB2312" w:eastAsia="仿宋_GB2312" w:cs="仿宋_GB2312"/>
          <w:b w:val="0"/>
          <w:sz w:val="32"/>
          <w:szCs w:val="32"/>
        </w:rPr>
        <w:t>指单位为完成特定的行政工作任务或事业发展目标，在基本支出之外发生的各项支出。</w:t>
      </w:r>
    </w:p>
    <w:p w14:paraId="3ED6949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十三、上缴上级支出：</w:t>
      </w:r>
      <w:r>
        <w:rPr>
          <w:rFonts w:hint="eastAsia" w:ascii="仿宋_GB2312" w:hAnsi="仿宋_GB2312" w:eastAsia="仿宋_GB2312" w:cs="仿宋_GB2312"/>
          <w:b w:val="0"/>
          <w:sz w:val="32"/>
          <w:szCs w:val="32"/>
        </w:rPr>
        <w:t>指事业单位按照财政部门和主管部门的规定上缴上级单位的支出。</w:t>
      </w:r>
    </w:p>
    <w:p w14:paraId="07BC8F1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十四、经营支出：</w:t>
      </w:r>
      <w:r>
        <w:rPr>
          <w:rFonts w:hint="eastAsia" w:ascii="仿宋_GB2312" w:hAnsi="仿宋_GB2312" w:eastAsia="仿宋_GB2312" w:cs="仿宋_GB2312"/>
          <w:b w:val="0"/>
          <w:sz w:val="32"/>
          <w:szCs w:val="32"/>
        </w:rPr>
        <w:t>指事业单位在专业活动及辅助活动之外开展非独立核算经营活动发生的支出。</w:t>
      </w:r>
    </w:p>
    <w:p w14:paraId="258EFFE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十五、对附属单位补助支出：</w:t>
      </w:r>
      <w:r>
        <w:rPr>
          <w:rFonts w:hint="eastAsia" w:ascii="仿宋_GB2312" w:hAnsi="仿宋_GB2312" w:eastAsia="仿宋_GB2312" w:cs="仿宋_GB2312"/>
          <w:b w:val="0"/>
          <w:sz w:val="32"/>
          <w:szCs w:val="32"/>
        </w:rPr>
        <w:t>指事业单位用财政补助收入之外的收入对附属单位补助发生的支出。</w:t>
      </w:r>
    </w:p>
    <w:p w14:paraId="71324B2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十六、“三公”经费：</w:t>
      </w:r>
      <w:r>
        <w:rPr>
          <w:rFonts w:hint="eastAsia" w:ascii="仿宋_GB2312" w:hAnsi="仿宋_GB2312" w:eastAsia="仿宋_GB2312" w:cs="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7B5318F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hint="eastAsia" w:ascii="仿宋_GB2312" w:hAnsi="仿宋_GB2312" w:eastAsia="仿宋_GB2312" w:cs="仿宋_GB2312"/>
          <w:b/>
          <w:sz w:val="32"/>
          <w:szCs w:val="32"/>
        </w:rPr>
        <w:t>十七、机关运行经费：</w:t>
      </w:r>
      <w:r>
        <w:rPr>
          <w:rFonts w:hint="eastAsia" w:ascii="仿宋_GB2312" w:hAnsi="仿宋_GB2312" w:eastAsia="仿宋_GB2312" w:cs="仿宋_GB2312"/>
          <w:b w:val="0"/>
          <w:sz w:val="32"/>
          <w:szCs w:val="32"/>
        </w:rPr>
        <w:t>指行政单位和参照公务员法管理的事业单位财政拨款基本支出中的公用经费支出</w:t>
      </w:r>
      <w:r>
        <w:rPr>
          <w:rFonts w:ascii="仿宋_GB2312" w:eastAsia="仿宋_GB2312"/>
          <w:b w:val="0"/>
          <w:sz w:val="32"/>
          <w:szCs w:val="32"/>
        </w:rPr>
        <w:t>。</w:t>
      </w:r>
    </w:p>
    <w:p w14:paraId="77FA2F18">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1E0067E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44"/>
          <w:szCs w:val="44"/>
        </w:rPr>
      </w:pPr>
      <w:bookmarkStart w:id="5" w:name="_Toc6831"/>
      <w:r>
        <w:rPr>
          <w:rFonts w:hint="eastAsia" w:ascii="黑体" w:hAnsi="黑体" w:eastAsia="黑体"/>
          <w:sz w:val="32"/>
          <w:szCs w:val="32"/>
          <w:highlight w:val="none"/>
        </w:rPr>
        <w:t>第四部分 部门决算报表（见附表）</w:t>
      </w:r>
      <w:bookmarkEnd w:id="5"/>
    </w:p>
    <w:p w14:paraId="774D34F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14:paraId="2E14294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14:paraId="3B96894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14:paraId="1F0781D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14:paraId="1F0C767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14:paraId="32137A4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756F013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6359F97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7D947F2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00000000"/>
    <w:rsid w:val="00CE3ECD"/>
    <w:rsid w:val="288B56D4"/>
    <w:rsid w:val="2B603075"/>
    <w:rsid w:val="3D5F2754"/>
    <w:rsid w:val="4E9D1D67"/>
    <w:rsid w:val="510A05FA"/>
    <w:rsid w:val="5E4252C0"/>
    <w:rsid w:val="5EF065FE"/>
    <w:rsid w:val="62FB1466"/>
    <w:rsid w:val="63875AC1"/>
    <w:rsid w:val="64230C3A"/>
    <w:rsid w:val="64F81356"/>
    <w:rsid w:val="7B765ED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16</Pages>
  <Words>6333</Words>
  <Characters>7020</Characters>
  <TotalTime>2</TotalTime>
  <ScaleCrop>false</ScaleCrop>
  <LinksUpToDate>false</LinksUpToDate>
  <CharactersWithSpaces>7029</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2026-08-19T06:16:00Z</dcterms:created>
  <dc:creator>XJCZ</dc:creator>
  <cp:lastModifiedBy>雨。</cp:lastModifiedBy>
  <dcterms:modified xsi:type="dcterms:W3CDTF">2026-08-29T13:21:41Z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KSOTemplateDocerSaveRecord">
    <vt:lpwstr>eyJoZGlkIjoiYTZjZThjMDFjYjU0NDRjYWE1YjFlZmFjNmU0NDBiYTgiLCJ1c2VySWQiOiI0NjExNzA3OTgifQ==</vt:lpwstr>
  </property>
  <property fmtid="{D5CDD505-2E9C-101B-9397-08002B2CF9AE}" pid="4" name="ICV">
    <vt:lpwstr>83AB5248FBA847BCB3CFDCE63F9633F1_12</vt:lpwstr>
  </property>
</Properties>
</file>