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BAF23D">
      <w:pPr>
        <w:widowControl/>
        <w:spacing w:before="0" w:beforeLines="0" w:beforeAutospacing="0" w:after="0" w:afterLines="0" w:afterAutospacing="0" w:line="240" w:lineRule="auto"/>
        <w:jc w:val="left"/>
        <w:rPr>
          <w:rFonts w:ascii="宋体" w:eastAsia="宋体"/>
          <w:sz w:val="32"/>
          <w:szCs w:val="32"/>
        </w:rPr>
      </w:pPr>
    </w:p>
    <w:p w14:paraId="14AB2FEE">
      <w:pPr>
        <w:widowControl/>
        <w:spacing w:before="0" w:beforeLines="0" w:beforeAutospacing="0" w:after="0" w:afterLines="0" w:afterAutospacing="0" w:line="240" w:lineRule="auto"/>
        <w:jc w:val="left"/>
        <w:rPr>
          <w:rFonts w:ascii="宋体" w:eastAsia="宋体"/>
          <w:sz w:val="44"/>
          <w:szCs w:val="44"/>
        </w:rPr>
      </w:pPr>
    </w:p>
    <w:p w14:paraId="0177AAAC">
      <w:pPr>
        <w:widowControl/>
        <w:spacing w:before="0" w:beforeLines="0" w:beforeAutospacing="0" w:after="0" w:afterLines="0" w:afterAutospacing="0" w:line="240" w:lineRule="auto"/>
        <w:jc w:val="left"/>
        <w:rPr>
          <w:rFonts w:ascii="宋体" w:eastAsia="宋体"/>
          <w:sz w:val="44"/>
          <w:szCs w:val="44"/>
        </w:rPr>
      </w:pPr>
    </w:p>
    <w:p w14:paraId="245FF3ED">
      <w:pPr>
        <w:widowControl/>
        <w:spacing w:before="0" w:beforeLines="0" w:beforeAutospacing="0" w:after="0" w:afterLines="0" w:afterAutospacing="0" w:line="240" w:lineRule="auto"/>
        <w:jc w:val="left"/>
        <w:rPr>
          <w:rFonts w:ascii="宋体" w:eastAsia="宋体"/>
          <w:sz w:val="44"/>
          <w:szCs w:val="44"/>
        </w:rPr>
      </w:pPr>
    </w:p>
    <w:p w14:paraId="7EE550CA">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新疆维吾尔自治区和田蚕桑科学研究所</w:t>
      </w:r>
    </w:p>
    <w:p w14:paraId="045E6365">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2025年度部门决算公开说明</w:t>
      </w:r>
    </w:p>
    <w:p w14:paraId="35BC0C06">
      <w:pPr>
        <w:widowControl/>
      </w:pPr>
      <w:r>
        <w:rPr>
          <w:b w:val="0"/>
          <w:sz w:val="0"/>
          <w:szCs w:val="0"/>
        </w:rPr>
        <w:br w:type="page"/>
      </w:r>
    </w:p>
    <w:p w14:paraId="5948D0DD">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 录</w:t>
      </w:r>
    </w:p>
    <w:p w14:paraId="39E74597">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第一部分单位概况</w:t>
      </w:r>
    </w:p>
    <w:p w14:paraId="53421067">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14:paraId="4507886B">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w:t>
      </w:r>
    </w:p>
    <w:p w14:paraId="6439CBD6">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 部门决算情况说明</w:t>
      </w:r>
    </w:p>
    <w:p w14:paraId="461189DE">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14:paraId="3BA1A2B5">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14:paraId="1B836C30">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14:paraId="5150921D">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14:paraId="73E1A03C">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14:paraId="01D93756">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14:paraId="5193F5C8">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14:paraId="4A41732C">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14:paraId="41F8B9AC">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六、一般公共预算财政拨款基本支出决算情况说明</w:t>
      </w:r>
    </w:p>
    <w:p w14:paraId="0E4CBEFC">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14:paraId="670D5FF7">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14:paraId="2D945ABE">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14:paraId="48A7C669">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十、其他重要事项的情况说明</w:t>
      </w:r>
    </w:p>
    <w:p w14:paraId="6CAD234A">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14:paraId="539E8D38">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14:paraId="3F0FDCD8">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14:paraId="38AEF6F6">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14:paraId="66DC8FE6">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14:paraId="09A15312">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 专业名词解释</w:t>
      </w:r>
    </w:p>
    <w:p w14:paraId="3C9CA9CB">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 部门决算报表（见附表）</w:t>
      </w:r>
    </w:p>
    <w:p w14:paraId="1804B44A">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14:paraId="79C44AAA">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14:paraId="30453251">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14:paraId="74596DF2">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14:paraId="33E1D629">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14:paraId="0943DD2E">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14:paraId="50602B4F">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14:paraId="4097C0AA">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14:paraId="30EECE48">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14:paraId="39AAFD1E">
      <w:pPr>
        <w:widowControl/>
      </w:pPr>
      <w:r>
        <w:rPr>
          <w:b w:val="0"/>
          <w:sz w:val="0"/>
          <w:szCs w:val="0"/>
        </w:rPr>
        <w:br w:type="page"/>
      </w:r>
    </w:p>
    <w:p w14:paraId="15EFEA88">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第一部分单位概况</w:t>
      </w:r>
    </w:p>
    <w:p w14:paraId="7C194775">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一、主要职能</w:t>
      </w:r>
    </w:p>
    <w:p w14:paraId="42E5A6F7">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hint="eastAsia" w:ascii="仿宋_GB2312" w:eastAsia="仿宋_GB2312"/>
          <w:b w:val="0"/>
          <w:sz w:val="32"/>
          <w:szCs w:val="32"/>
          <w:lang w:eastAsia="zh-CN"/>
        </w:rPr>
        <w:t>本单位</w:t>
      </w:r>
      <w:r>
        <w:rPr>
          <w:rFonts w:ascii="仿宋_GB2312" w:eastAsia="仿宋_GB2312"/>
          <w:b w:val="0"/>
          <w:sz w:val="32"/>
          <w:szCs w:val="32"/>
        </w:rPr>
        <w:t>业务以干旱地区蚕桑实用技术研究为主，同时担负新疆桑、蚕品种选育及繁育推广，蚕桑综合利用研究开发、蚕桑技术人员培训、蚕桑科技咨询等职责。通过对新疆桑、蚕基因资源进行高效利用研究，研制开发桑叶茶、桑椹膏、桑椹干、桑椹红酒等产品，食用菌蘑菇种植扶贫工作有效增加了贫困户收入，助力脱贫攻坚，推动新疆蚕桑“生态-经济”一体化进程。未来，将通过项目实施及“产、学、研”合作，重点在药桑繁育、人工饲料育、食用菌研究等领域进行研究，形成新疆蚕桑科技清晰独特的研究路线，进一步实现蚕桑成果多元化、科技化、特色化的风格，加大成果转化力度，促进新疆蚕桑产业发展，为新疆蚕桑科技做出贡献。</w:t>
      </w:r>
    </w:p>
    <w:p w14:paraId="091ADA94">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二、机构设置</w:t>
      </w:r>
    </w:p>
    <w:p w14:paraId="7BF4D224">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新疆维吾尔自治区和田蚕桑科学研究所无下属预算单位。</w:t>
      </w:r>
    </w:p>
    <w:p w14:paraId="12EBC774">
      <w:pPr>
        <w:widowControl/>
      </w:pPr>
      <w:r>
        <w:rPr>
          <w:b w:val="0"/>
          <w:sz w:val="0"/>
          <w:szCs w:val="0"/>
        </w:rPr>
        <w:br w:type="page"/>
      </w:r>
    </w:p>
    <w:p w14:paraId="194AD191">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第二部分 部门决算情况说明</w:t>
      </w:r>
    </w:p>
    <w:p w14:paraId="40F46BA6">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一、收入支出决算总体情况说明</w:t>
      </w:r>
    </w:p>
    <w:p w14:paraId="798379C2">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2025年度收入总计1,388.32万元，其中：本年收入合计1,339.51万元，使用非财政拨款结余（含专用结余）0.00万元，年初结转和结余48.82万元。</w:t>
      </w:r>
    </w:p>
    <w:p w14:paraId="18BBC66E">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2025年度支出总计1,388.32万元，其中：本年支出合计1,328.30万元，结余分配0.00万元，年末结转和结余60.02万元。</w:t>
      </w:r>
    </w:p>
    <w:p w14:paraId="63573E48">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收入支出总体与上年相比，增加29.26万元，增长2.15%，主要原因是：本年在职人员工资调增，社保、公积金基数调增，人员经费增加。</w:t>
      </w:r>
    </w:p>
    <w:p w14:paraId="57F36706">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二、收入决算情况说明</w:t>
      </w:r>
    </w:p>
    <w:p w14:paraId="6AAF7B0D">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本年收入1,339.51万元，其中：财政拨款收入1,231.77万元,占91.96%；上级补助收入0.00万元,占0.00%；事业收入0.00万元，占0.00%；经营收入0.00万元,占0.00%；附属单位上缴收入0.00万元，占0.00%；其他收入107.74万元，占8.04%。</w:t>
      </w:r>
    </w:p>
    <w:p w14:paraId="5BE00A38">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三、支出决算情况说明</w:t>
      </w:r>
    </w:p>
    <w:p w14:paraId="61565148">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本年支出1,328.30万元，其中：基本支出1,211.77万元，占91.23%；项目支出116.53万元，占8.77%；上缴上级支出0.00万元，占0.00%；经营支出0.00万元，占0.00%；对附属单位补助支出0.00万元，占0.00%。</w:t>
      </w:r>
    </w:p>
    <w:p w14:paraId="4BF5B25B">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四、财政拨款收入支出决算总体情况说明</w:t>
      </w:r>
    </w:p>
    <w:p w14:paraId="170FA5E2">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财政拨款收入总计1,231.77万元，其中：年初财政拨款结转和结余0.00万元，本年财政拨款收入1,231.77万元。财政拨款支出总计1,231.77万元，其中：年末财政拨款结转和结余0.00万元，本年财政拨款支出1,231.77万元。</w:t>
      </w:r>
    </w:p>
    <w:p w14:paraId="78EDECEB">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财政拨款收入支出总体与上年相比，增加51.97万元，增长4.40%，主要原因是：本年在职人员工资调增，社保、公积金基数调增，人员经费增加。与年初预算相比，年初预算数1,131.83万元，决算数1,231.77万元，预决算差异率8.83%，主要原因是：年中追加人员工资、社保、公积金基数调增部分资金，导致预决算存在差异。</w:t>
      </w:r>
    </w:p>
    <w:p w14:paraId="63D19B47">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五、一般公共预算财政拨款支出决算情况说明</w:t>
      </w:r>
    </w:p>
    <w:p w14:paraId="4F8A2040">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按照党中央、国务院关于党政机关习惯过紧日子的有关要求，厉行节约办一切事业，严控一般性支出。同时坚持有保有压，优化支出结构，提高资金使用效率，合理保障机构运行、农林水支出等重点支出，体现在有关支出科目中。</w:t>
      </w:r>
    </w:p>
    <w:p w14:paraId="5CAB09A2">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按照支出功能分类，科学技术支出（类）应用研究（款）机构运行（项）的支出占本年财政拨款支出总额的比重最高，2025年度决算数为1,211.77万元，占比98.38%，主要用于人员工资福利、日常公用经费。</w:t>
      </w:r>
    </w:p>
    <w:p w14:paraId="3E02DE84">
      <w:pPr>
        <w:widowControl/>
        <w:spacing w:before="0" w:beforeLines="0" w:beforeAutospacing="0" w:after="0" w:afterLines="0" w:afterAutospacing="0" w:line="240" w:lineRule="auto"/>
        <w:ind w:firstLine="640" w:firstLineChars="200"/>
        <w:jc w:val="both"/>
        <w:outlineLvl w:val="2"/>
        <w:rPr>
          <w:rFonts w:ascii="黑体" w:eastAsia="黑体"/>
          <w:sz w:val="32"/>
          <w:szCs w:val="32"/>
        </w:rPr>
      </w:pPr>
      <w:r>
        <w:rPr>
          <w:rFonts w:ascii="黑体" w:eastAsia="黑体"/>
          <w:b w:val="0"/>
          <w:sz w:val="32"/>
          <w:szCs w:val="32"/>
        </w:rPr>
        <w:t>（一）一般公共预算财政拨款支出决算总体情况</w:t>
      </w:r>
    </w:p>
    <w:p w14:paraId="1A8D70A7">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一般公共预算财政拨款支出1,231.77万元，占本年支出合计的92.73%。与上年相比，增加51.97万元，增长4.40%，主要原因是：本年在职人员工资调增，社保、公积金基数调增，人员经费增加。与年初预算相比，年初预算数1,131.83万元，决算数1,231.77万元，预决算差异率8.83%，主要原因是：年中追加人员工资、社保、公积金基数调增部分资金，导致预决算存在差异。</w:t>
      </w:r>
    </w:p>
    <w:p w14:paraId="2E9EB57A">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（二）一般公共预算财政拨款支出决算结构情况</w:t>
      </w:r>
    </w:p>
    <w:p w14:paraId="359B0411">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1.科学技术支出（类）1,211.77万元，占98.38%。</w:t>
      </w:r>
    </w:p>
    <w:p w14:paraId="513A75C0">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2.农林水支出（类）20.00万元，占1.62%。</w:t>
      </w:r>
    </w:p>
    <w:p w14:paraId="594877C1">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（三）一般公共预算财政拨款支出决算具体情况</w:t>
      </w:r>
    </w:p>
    <w:p w14:paraId="75B0B795">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1.科学技术支出（类）应用研究（款）机构运行（项）：支出决算数为1,211.77万元，比上年决算增加51.97万元，增长4.48%，主要原因是：本年在职人员工资调增，导致相关人员经费较上年有所增加。本年新增退休人员，职业年金缴费支出增加。</w:t>
      </w:r>
    </w:p>
    <w:p w14:paraId="17A12335">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2.农林水支出（类）农业农村（款）农业生产发展（项）：支出决算数为20.00万元，与上年相比无变化，主要原因是：</w:t>
      </w:r>
      <w:r>
        <w:rPr>
          <w:rFonts w:hint="eastAsia" w:ascii="仿宋_GB2312" w:eastAsia="仿宋_GB2312"/>
          <w:b w:val="0"/>
          <w:sz w:val="32"/>
          <w:szCs w:val="32"/>
          <w:lang w:eastAsia="zh-CN"/>
        </w:rPr>
        <w:t>蚕种质资源基因库及桑树种植资源圃</w:t>
      </w:r>
      <w:r>
        <w:rPr>
          <w:rFonts w:ascii="仿宋_GB2312" w:eastAsia="仿宋_GB2312"/>
          <w:b w:val="0"/>
          <w:sz w:val="32"/>
          <w:szCs w:val="32"/>
        </w:rPr>
        <w:t>项目预算与上年一致。</w:t>
      </w:r>
    </w:p>
    <w:p w14:paraId="7D2DCEA0">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六、一般公共预算财政拨款基本支出决算情况说明</w:t>
      </w:r>
    </w:p>
    <w:p w14:paraId="27BD0134">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一般公共预算财政拨款基本支出1,211.77万元，其中：人员经费1,158.04万元，包括：基本工资、津贴补贴、奖金、绩效工资、机关事业单位基本养老保险缴费、职业年金缴费、职工基本医疗保险缴费、公务员医疗补助缴费、其他社会保障缴费、住房公积金、其他工资福利支出、退休费、生活补助和其他对个人和家庭的补助。</w:t>
      </w:r>
    </w:p>
    <w:p w14:paraId="116D5400">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公用经费53.73万元，包括：办公费、水费、电费、邮电费、取暖费、差旅费、工会经费、福利费、其他交通费用和其他商品和服务支出。</w:t>
      </w:r>
    </w:p>
    <w:p w14:paraId="0A447944">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七、政府性基金预算财政拨款收入支出决算情况说明</w:t>
      </w:r>
    </w:p>
    <w:p w14:paraId="73CE4F12">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本单位本年度无政府性基金预算财政拨款收入、支出及结转和结余，政府性基金预算财政拨款收入支出决算表为空表。</w:t>
      </w:r>
    </w:p>
    <w:p w14:paraId="7CDBDD6B">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八、国有资本经营预算财政拨款收入支出决算情况说明</w:t>
      </w:r>
    </w:p>
    <w:p w14:paraId="05064495">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14:paraId="169D6012">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九、财政拨款“三公”经费支出决算情况说明</w:t>
      </w:r>
    </w:p>
    <w:p w14:paraId="5A429A05">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财政拨款“三公”经费支出0.00万元，与上年相比无变化，主要原因是：2024年与2025年均无财政拨款“三公”经费支出。其中：因公出国（境）费用支出0.00万元,占0.00%，与上年相比无变化，主要原因是：2024年与2025年均无因公出国（境）费用支出；公务用车购置及运行维护费支出0.00万元，占0.00%，与上年相比无变化，主要原因是：2024年与2025年均无公务用车购置及运行维护费支出；公务接待费支出0.00万元，占0.00%，与上年相比无变化，主要原因是：2024年与2025年均无公务接待费支出。</w:t>
      </w:r>
    </w:p>
    <w:p w14:paraId="4C279D75">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具体情况如下：</w:t>
      </w:r>
    </w:p>
    <w:p w14:paraId="09B2147A">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因公出国（境）费用0.00万元，开支内容包括</w:t>
      </w:r>
      <w:r>
        <w:rPr>
          <w:rFonts w:hint="eastAsia" w:ascii="仿宋_GB2312" w:eastAsia="仿宋_GB2312"/>
          <w:b w:val="0"/>
          <w:sz w:val="32"/>
          <w:szCs w:val="32"/>
          <w:lang w:eastAsia="zh-CN"/>
        </w:rPr>
        <w:t>本单位</w:t>
      </w:r>
      <w:r>
        <w:rPr>
          <w:rFonts w:ascii="仿宋_GB2312" w:eastAsia="仿宋_GB2312"/>
          <w:b w:val="0"/>
          <w:sz w:val="32"/>
          <w:szCs w:val="32"/>
        </w:rPr>
        <w:t>无因公出国（境）费用。单位全年安排的因公出国（境）团组0个，因公出国（境）0人次。</w:t>
      </w:r>
    </w:p>
    <w:p w14:paraId="611A0909">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3辆，与公务用车保有量差异原因是：差异车辆为单位业务用车，预算未安排公务用车运行维护费。</w:t>
      </w:r>
    </w:p>
    <w:p w14:paraId="47257550">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公务接待费0.00万元，开支内容包括</w:t>
      </w:r>
      <w:r>
        <w:rPr>
          <w:rFonts w:hint="eastAsia" w:ascii="仿宋_GB2312" w:eastAsia="仿宋_GB2312"/>
          <w:b w:val="0"/>
          <w:sz w:val="32"/>
          <w:szCs w:val="32"/>
          <w:lang w:eastAsia="zh-CN"/>
        </w:rPr>
        <w:t>本单位</w:t>
      </w:r>
      <w:r>
        <w:rPr>
          <w:rFonts w:ascii="仿宋_GB2312" w:eastAsia="仿宋_GB2312"/>
          <w:b w:val="0"/>
          <w:sz w:val="32"/>
          <w:szCs w:val="32"/>
        </w:rPr>
        <w:t>无公务接待费。单位全年安排的国内公务接待0批次，0人次。</w:t>
      </w:r>
    </w:p>
    <w:p w14:paraId="08E45EC4">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与全年预算相比，财政拨款“三公”经费支出全年预算数0.00万元，决算数0.00万元，预决算差异率0.00%，主要原因是：</w:t>
      </w:r>
      <w:r>
        <w:rPr>
          <w:rFonts w:hint="eastAsia" w:ascii="仿宋_GB2312" w:eastAsia="仿宋_GB2312"/>
          <w:b w:val="0"/>
          <w:sz w:val="32"/>
          <w:szCs w:val="32"/>
          <w:lang w:val="en-US" w:eastAsia="zh-CN"/>
        </w:rPr>
        <w:t>本单位无</w:t>
      </w:r>
      <w:r>
        <w:rPr>
          <w:rFonts w:ascii="仿宋_GB2312" w:eastAsia="仿宋_GB2312"/>
          <w:b w:val="0"/>
          <w:sz w:val="32"/>
          <w:szCs w:val="32"/>
        </w:rPr>
        <w:t>财政拨款“三公”经费支出。其中：因公出国（境）费用全年预算数0.00万元，决算数0.00万元，预决算差异率0.00%，主要原因是：</w:t>
      </w:r>
      <w:r>
        <w:rPr>
          <w:rFonts w:hint="eastAsia" w:ascii="仿宋_GB2312" w:eastAsia="仿宋_GB2312"/>
          <w:b w:val="0"/>
          <w:sz w:val="32"/>
          <w:szCs w:val="32"/>
          <w:lang w:val="en-US" w:eastAsia="zh-CN"/>
        </w:rPr>
        <w:t>本单位无</w:t>
      </w:r>
      <w:r>
        <w:rPr>
          <w:rFonts w:ascii="仿宋_GB2312" w:eastAsia="仿宋_GB2312"/>
          <w:b w:val="0"/>
          <w:sz w:val="32"/>
          <w:szCs w:val="32"/>
        </w:rPr>
        <w:t>因公出国（境）费用：因公出国（境）费用；公务用车购置费全年预算数0.00万元，决算数0.00万元，预决算差异率0.00%，主要原因是：</w:t>
      </w:r>
      <w:r>
        <w:rPr>
          <w:rFonts w:hint="eastAsia" w:ascii="仿宋_GB2312" w:eastAsia="仿宋_GB2312"/>
          <w:b w:val="0"/>
          <w:sz w:val="32"/>
          <w:szCs w:val="32"/>
          <w:lang w:val="en-US" w:eastAsia="zh-CN"/>
        </w:rPr>
        <w:t>本单位无</w:t>
      </w:r>
      <w:r>
        <w:rPr>
          <w:rFonts w:ascii="仿宋_GB2312" w:eastAsia="仿宋_GB2312"/>
          <w:b w:val="0"/>
          <w:sz w:val="32"/>
          <w:szCs w:val="32"/>
        </w:rPr>
        <w:t>公务用车购置费；公务用车运行维护费全年预算数0.00万元，决算数0.00万元，预决算差异率0.00%，主要原因是：</w:t>
      </w:r>
      <w:r>
        <w:rPr>
          <w:rFonts w:hint="eastAsia" w:ascii="仿宋_GB2312" w:eastAsia="仿宋_GB2312"/>
          <w:b w:val="0"/>
          <w:sz w:val="32"/>
          <w:szCs w:val="32"/>
          <w:lang w:val="en-US" w:eastAsia="zh-CN"/>
        </w:rPr>
        <w:t>本单位无</w:t>
      </w:r>
      <w:r>
        <w:rPr>
          <w:rFonts w:ascii="仿宋_GB2312" w:eastAsia="仿宋_GB2312"/>
          <w:b w:val="0"/>
          <w:sz w:val="32"/>
          <w:szCs w:val="32"/>
        </w:rPr>
        <w:t>公务用车运行维护费；公务接待费全年预算数0.00万元，决算数0.00万元，预决算差异率0.00%，主要原因是</w:t>
      </w:r>
      <w:r>
        <w:rPr>
          <w:rFonts w:hint="eastAsia" w:ascii="仿宋_GB2312" w:eastAsia="仿宋_GB2312"/>
          <w:b w:val="0"/>
          <w:sz w:val="32"/>
          <w:szCs w:val="32"/>
          <w:lang w:val="en-US" w:eastAsia="zh-CN"/>
        </w:rPr>
        <w:t>本单位无</w:t>
      </w:r>
      <w:r>
        <w:rPr>
          <w:rFonts w:ascii="仿宋_GB2312" w:eastAsia="仿宋_GB2312"/>
          <w:b w:val="0"/>
          <w:sz w:val="32"/>
          <w:szCs w:val="32"/>
        </w:rPr>
        <w:t>公务接待费。</w:t>
      </w:r>
    </w:p>
    <w:p w14:paraId="64D8AA93">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十、其他重要事项的情况说明</w:t>
      </w:r>
    </w:p>
    <w:p w14:paraId="62E9A48B">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（一）机关运行经费及公用经费支出情况</w:t>
      </w:r>
    </w:p>
    <w:p w14:paraId="154AD5B7">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2025年度新疆维吾尔自治区和田蚕桑科学研究所（事业单位）公用经费支出53.73万元，比上年减少0.65万元，下降1.20%，主要原因是：严控经费支出，厉行节约，减少经费支出。</w:t>
      </w:r>
    </w:p>
    <w:p w14:paraId="3546E6EA">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（二）政府采购情况</w:t>
      </w:r>
    </w:p>
    <w:p w14:paraId="698163DF">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2025年度政府采购支出总额71.27万元，其中：政府采购货物支出28.90万元、政府采购工程支出0.00万元、政府采购服务支出42.37万元。</w:t>
      </w:r>
    </w:p>
    <w:p w14:paraId="1350FC2B">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授予中小企业合同金额71.27万元，占政府采购支出总额的100.00%，其中：授予小微企业合同金额71.27万元，占政府采购支出总额的100.00%。</w:t>
      </w:r>
    </w:p>
    <w:p w14:paraId="167838DA">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（三）国有资产占用情况说明</w:t>
      </w:r>
    </w:p>
    <w:p w14:paraId="27659643">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截至2025年12月31日，房屋16,190.12平方米，价值663.45万元。车辆3辆，价值35.30万元，其中：副部（省）级及以上领导用车0辆、主要负责人用车0辆、机要通信用车0辆、应急保障用车0辆、执法执勤用车0辆、特种专业技术用车0辆、离退休干部服务用车0辆、其他用车3辆，其他用车主要是：物资运输车，科技服务车;单价100万元（含）以上设备（不含车辆）0台（套）。</w:t>
      </w:r>
    </w:p>
    <w:p w14:paraId="0DB4D467">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十一、预算绩效的情况说明</w:t>
      </w:r>
    </w:p>
    <w:p w14:paraId="6EBD86C2">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根据预算绩效管理要求，本单位2025年度预算绩效评价项目1个，全年预算数145.50万元，全年执行数144.75万元。预算绩效管理取得的成效：一是通过开展绩效目标申报，将预算目标同预算编制，资金安排</w:t>
      </w:r>
      <w:r>
        <w:rPr>
          <w:rFonts w:hint="eastAsia" w:ascii="仿宋_GB2312" w:eastAsia="仿宋_GB2312"/>
          <w:b w:val="0"/>
          <w:sz w:val="32"/>
          <w:szCs w:val="32"/>
          <w:lang w:eastAsia="zh-CN"/>
        </w:rPr>
        <w:t>相结合</w:t>
      </w:r>
      <w:r>
        <w:rPr>
          <w:rFonts w:ascii="仿宋_GB2312" w:eastAsia="仿宋_GB2312"/>
          <w:b w:val="0"/>
          <w:sz w:val="32"/>
          <w:szCs w:val="32"/>
        </w:rPr>
        <w:t>，按时完成项目，使项目资金充分利用，提高了资源配置效率和使用效益；二是加强了资金管理。发现的问题及原因：一是项目将未通过的项目资金列入其中，资金未全部到位，执行率低；二是绩效目标过高，实际完成率过低，项目绩效目标无法完成。下一步改进措施：一是</w:t>
      </w:r>
      <w:r>
        <w:rPr>
          <w:rFonts w:hint="eastAsia" w:ascii="仿宋_GB2312" w:eastAsia="仿宋_GB2312"/>
          <w:b w:val="0"/>
          <w:sz w:val="32"/>
          <w:szCs w:val="32"/>
          <w:lang w:eastAsia="zh-CN"/>
        </w:rPr>
        <w:t>本单位</w:t>
      </w:r>
      <w:r>
        <w:rPr>
          <w:rFonts w:ascii="仿宋_GB2312" w:eastAsia="仿宋_GB2312"/>
          <w:b w:val="0"/>
          <w:sz w:val="32"/>
          <w:szCs w:val="32"/>
        </w:rPr>
        <w:t>将在做预算项目时，以上年收入实绩和当年实际收入情况为依据，在此基础上剔除非正常的一次性收入因素，充分考虑政策性，管理性增减因素和收入变化趋势，由此核定本预算年度收入计划；二是结合上年项目执行绩效情况设立本</w:t>
      </w:r>
      <w:r>
        <w:rPr>
          <w:rFonts w:hint="eastAsia" w:ascii="仿宋_GB2312" w:eastAsia="仿宋_GB2312"/>
          <w:b w:val="0"/>
          <w:sz w:val="32"/>
          <w:szCs w:val="32"/>
          <w:lang w:eastAsia="zh-CN"/>
        </w:rPr>
        <w:t>年度</w:t>
      </w:r>
      <w:r>
        <w:rPr>
          <w:rFonts w:ascii="仿宋_GB2312" w:eastAsia="仿宋_GB2312"/>
          <w:b w:val="0"/>
          <w:sz w:val="32"/>
          <w:szCs w:val="32"/>
        </w:rPr>
        <w:t>绩效目标，结合实际，设立可执行的标准绩效目标。具体附项目支出绩效自评表。</w:t>
      </w:r>
    </w:p>
    <w:p w14:paraId="4DD9ED2A">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十二、其他需说明的事项</w:t>
      </w:r>
    </w:p>
    <w:p w14:paraId="21270D2F">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本单位无其他需说明的事项。</w:t>
      </w:r>
    </w:p>
    <w:p w14:paraId="3CAC7590">
      <w:pPr>
        <w:widowControl/>
        <w:spacing w:before="0" w:beforeLines="0" w:beforeAutospacing="0" w:after="0" w:afterLines="0" w:afterAutospacing="0" w:line="240" w:lineRule="auto"/>
        <w:ind w:firstLine="640" w:firstLineChars="200"/>
        <w:jc w:val="left"/>
        <w:rPr>
          <w:rFonts w:ascii="仿宋_GB2312" w:eastAsia="仿宋_GB2312"/>
          <w:sz w:val="32"/>
          <w:szCs w:val="32"/>
        </w:rPr>
      </w:pPr>
    </w:p>
    <w:p w14:paraId="0548FB34">
      <w:pPr>
        <w:widowControl/>
      </w:pPr>
      <w:r>
        <w:rPr>
          <w:b w:val="0"/>
          <w:sz w:val="0"/>
          <w:szCs w:val="0"/>
        </w:rPr>
        <w:br w:type="page"/>
      </w:r>
    </w:p>
    <w:p w14:paraId="46DC0421">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 专业名词解释</w:t>
      </w:r>
    </w:p>
    <w:p w14:paraId="314F96BD">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指单位本年度从同级财政部门取得的财政拨款，包括一般公共预算财政拨款、政府性基金预算财政拨款和国有资本经营预算财政拨款。</w:t>
      </w:r>
    </w:p>
    <w:p w14:paraId="036A2CC1">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14:paraId="5AE6D9C3">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指事业单位开展专业业务活动及其辅助活动取得的收入。</w:t>
      </w:r>
    </w:p>
    <w:p w14:paraId="4CC11329">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14:paraId="2CE8D1BD">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指事业单位附属独立核算单位按照有关规定上缴的收入。</w:t>
      </w:r>
    </w:p>
    <w:p w14:paraId="15E3FE12">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指单位取得的除上述“财政拨款收入”“上级补助收入”“事业收入”“经营收入”“附属单位上缴收入”以外的各项收入。</w:t>
      </w:r>
    </w:p>
    <w:p w14:paraId="0BDC5398">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指单位上年结转本年使用的基本支出结转、项目支出结转和结余、经营结余。</w:t>
      </w:r>
    </w:p>
    <w:p w14:paraId="54C80B9B">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八、使用非财政拨款结余（含专用结余）：</w:t>
      </w:r>
      <w:r>
        <w:rPr>
          <w:rFonts w:ascii="仿宋_GB2312" w:eastAsia="仿宋_GB2312"/>
          <w:b w:val="0"/>
          <w:sz w:val="32"/>
          <w:szCs w:val="32"/>
        </w:rPr>
        <w:t>指单位按照预算管理要求使用非财政拨款结余弥补收支差额的金额，以及使用专用结余安排支出的金额。</w:t>
      </w:r>
    </w:p>
    <w:p w14:paraId="2B314193">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九、结余分配</w:t>
      </w:r>
      <w:r>
        <w:rPr>
          <w:rFonts w:ascii="仿宋_GB2312" w:eastAsia="仿宋_GB2312"/>
          <w:b w:val="0"/>
          <w:sz w:val="32"/>
          <w:szCs w:val="32"/>
        </w:rPr>
        <w:t>：指单位缴纳企业所得税以及从非财政拨款结余或经营结余中提取各类结余的情况。</w:t>
      </w:r>
    </w:p>
    <w:p w14:paraId="4D9F304E">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十、年末结转和结余</w:t>
      </w:r>
      <w:r>
        <w:rPr>
          <w:rFonts w:ascii="仿宋_GB2312" w:eastAsia="仿宋_GB2312"/>
          <w:b w:val="0"/>
          <w:sz w:val="32"/>
          <w:szCs w:val="32"/>
        </w:rPr>
        <w:t>：指单位结转下年的基本支出结转、项目支出结转和结余、经营结余。</w:t>
      </w:r>
    </w:p>
    <w:p w14:paraId="4188E8F1">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十一、基本支出</w:t>
      </w:r>
      <w:r>
        <w:rPr>
          <w:rFonts w:ascii="仿宋_GB2312" w:eastAsia="仿宋_GB2312"/>
          <w:b w:val="0"/>
          <w:sz w:val="32"/>
          <w:szCs w:val="32"/>
        </w:rPr>
        <w:t>：指单位为保障机构正常运转、完成日常工作任务而发生的各项支出。</w:t>
      </w:r>
    </w:p>
    <w:p w14:paraId="7A6A3B36">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十二、项目支出：</w:t>
      </w:r>
      <w:r>
        <w:rPr>
          <w:rFonts w:ascii="仿宋_GB2312" w:eastAsia="仿宋_GB2312"/>
          <w:b w:val="0"/>
          <w:sz w:val="32"/>
          <w:szCs w:val="32"/>
        </w:rPr>
        <w:t>指单位为完成特定的行政工作任务或事业发展目标，在基本支出之外发生的各项支出。</w:t>
      </w:r>
    </w:p>
    <w:p w14:paraId="09371666">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十三、上缴上级支出：</w:t>
      </w:r>
      <w:r>
        <w:rPr>
          <w:rFonts w:ascii="仿宋_GB2312" w:eastAsia="仿宋_GB2312"/>
          <w:b w:val="0"/>
          <w:sz w:val="32"/>
          <w:szCs w:val="32"/>
        </w:rPr>
        <w:t>指事业单位按照财政部门和主管部门的规定上缴上级单位的支出。</w:t>
      </w:r>
    </w:p>
    <w:p w14:paraId="5EB86407">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十四、经营支出：</w:t>
      </w:r>
      <w:r>
        <w:rPr>
          <w:rFonts w:ascii="仿宋_GB2312" w:eastAsia="仿宋_GB2312"/>
          <w:b w:val="0"/>
          <w:sz w:val="32"/>
          <w:szCs w:val="32"/>
        </w:rPr>
        <w:t>指事业单位在专业活动及辅助活动之外开展非独立核算经营活动发生的支出。</w:t>
      </w:r>
    </w:p>
    <w:p w14:paraId="4A1BFE35">
      <w:pPr>
        <w:widowControl/>
        <w:spacing w:before="0" w:beforeLines="0" w:beforeAutospacing="0" w:after="0" w:afterLines="0" w:afterAutospacing="0" w:line="240" w:lineRule="auto"/>
        <w:ind w:firstLine="643" w:firstLineChars="200"/>
        <w:jc w:val="left"/>
        <w:rPr>
          <w:rFonts w:ascii="宋体" w:eastAsia="仿宋_GB2312"/>
          <w:sz w:val="32"/>
          <w:szCs w:val="32"/>
        </w:rPr>
      </w:pPr>
      <w:r>
        <w:rPr>
          <w:rFonts w:ascii="宋体" w:eastAsia="仿宋_GB2312"/>
          <w:b/>
          <w:sz w:val="32"/>
          <w:szCs w:val="32"/>
        </w:rPr>
        <w:t>十五、对附属单位补助支出：</w:t>
      </w:r>
      <w:r>
        <w:rPr>
          <w:rFonts w:ascii="宋体" w:eastAsia="仿宋_GB2312"/>
          <w:b w:val="0"/>
          <w:sz w:val="32"/>
          <w:szCs w:val="32"/>
        </w:rPr>
        <w:t>指事业单位用财政补助收入之外的收入对附属单位补助发生的支出。</w:t>
      </w:r>
    </w:p>
    <w:p w14:paraId="08CFB7EB">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十六、“三公”经费：</w:t>
      </w:r>
      <w:r>
        <w:rPr>
          <w:rFonts w:ascii="仿宋_GB2312" w:eastAsia="仿宋_GB2312"/>
          <w:b w:val="0"/>
          <w:sz w:val="32"/>
          <w:szCs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676E1BD5">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十七、机关运行经费：</w:t>
      </w:r>
      <w:r>
        <w:rPr>
          <w:rFonts w:ascii="仿宋_GB2312" w:eastAsia="仿宋_GB2312"/>
          <w:b w:val="0"/>
          <w:sz w:val="32"/>
          <w:szCs w:val="32"/>
        </w:rPr>
        <w:t>指行政单位和参照公务员法管理的事业单位财政拨款基本支出中的公用经费支出。</w:t>
      </w:r>
    </w:p>
    <w:p w14:paraId="6C5231F2">
      <w:pPr>
        <w:widowControl/>
      </w:pPr>
      <w:r>
        <w:rPr>
          <w:b w:val="0"/>
          <w:sz w:val="0"/>
          <w:szCs w:val="0"/>
        </w:rPr>
        <w:br w:type="page"/>
      </w:r>
    </w:p>
    <w:p w14:paraId="6C67EB65">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 部门决算报表（见附表）</w:t>
      </w:r>
    </w:p>
    <w:p w14:paraId="1BD3F374">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14:paraId="24143B76">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14:paraId="000AFC0A">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14:paraId="4245B4A4">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14:paraId="7E59ED40">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14:paraId="5274BF10">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14:paraId="13C9AC6C">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14:paraId="73A74AA7">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14:paraId="2F3072EF">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九、《财政拨款“三公”经费支出</w:t>
      </w:r>
      <w:bookmarkStart w:id="0" w:name="_GoBack"/>
      <w:bookmarkEnd w:id="0"/>
      <w:r>
        <w:rPr>
          <w:rFonts w:ascii="仿宋_GB2312" w:eastAsia="仿宋_GB2312"/>
          <w:b w:val="0"/>
          <w:sz w:val="32"/>
          <w:szCs w:val="32"/>
        </w:rPr>
        <w:t>决算表》</w:t>
      </w: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cumentProtection w:enforcement="0"/>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ViY2JkMjU3NGYzZTEwMzZmMGFkZWViYmNkYWU3NDIifQ=="/>
  </w:docVars>
  <w:rsids>
    <w:rsidRoot w:val="00000000"/>
    <w:rsid w:val="029E2F92"/>
    <w:rsid w:val="17710A57"/>
    <w:rsid w:val="243664E4"/>
    <w:rsid w:val="276C6A33"/>
    <w:rsid w:val="61C00CD6"/>
    <w:rsid w:val="79F65E59"/>
    <w:rsid w:val="7FA27C6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13</Pages>
  <Words>5157</Words>
  <Characters>5713</Characters>
  <TotalTime>1</TotalTime>
  <ScaleCrop>false</ScaleCrop>
  <LinksUpToDate>false</LinksUpToDate>
  <CharactersWithSpaces>5720</CharactersWithSpaces>
  <Application>WPS Office_12.1.0.18608_F1E327BC-269C-435d-A152-05C5408002CA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2026-08-25T02:47:00Z</dcterms:created>
  <dc:creator>Administrator</dc:creator>
  <cp:lastModifiedBy>雨。</cp:lastModifiedBy>
  <dcterms:modified xsi:type="dcterms:W3CDTF">2026-08-29T13:14:33Z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KSOTemplateDocerSaveRecord">
    <vt:lpwstr>eyJoZGlkIjoiYTZjZThjMDFjYjU0NDRjYWE1YjFlZmFjNmU0NDBiYTgiLCJ1c2VySWQiOiI0NjExNzA3OTgifQ==</vt:lpwstr>
  </property>
  <property fmtid="{D5CDD505-2E9C-101B-9397-08002B2CF9AE}" pid="4" name="ICV">
    <vt:lpwstr>32D4459C44054E3EA255BDD9D6D6D200_12</vt:lpwstr>
  </property>
</Properties>
</file>