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0B11C">
      <w:pPr>
        <w:widowControl/>
        <w:spacing w:before="0" w:beforeLines="0" w:beforeAutospacing="0" w:after="0" w:afterLines="0" w:afterAutospacing="0" w:line="240" w:lineRule="auto"/>
        <w:jc w:val="left"/>
        <w:rPr>
          <w:rFonts w:ascii="宋体" w:eastAsia="宋体"/>
          <w:sz w:val="32"/>
          <w:szCs w:val="32"/>
        </w:rPr>
      </w:pPr>
    </w:p>
    <w:p w14:paraId="0335296C">
      <w:pPr>
        <w:widowControl/>
        <w:spacing w:before="0" w:beforeLines="0" w:beforeAutospacing="0" w:after="0" w:afterLines="0" w:afterAutospacing="0" w:line="240" w:lineRule="auto"/>
        <w:jc w:val="left"/>
        <w:rPr>
          <w:rFonts w:ascii="宋体" w:eastAsia="宋体"/>
          <w:sz w:val="44"/>
          <w:szCs w:val="44"/>
        </w:rPr>
      </w:pPr>
    </w:p>
    <w:p w14:paraId="220ED9DC">
      <w:pPr>
        <w:widowControl/>
        <w:spacing w:before="0" w:beforeLines="0" w:beforeAutospacing="0" w:after="0" w:afterLines="0" w:afterAutospacing="0" w:line="240" w:lineRule="auto"/>
        <w:jc w:val="left"/>
        <w:rPr>
          <w:rFonts w:ascii="宋体" w:eastAsia="宋体"/>
          <w:sz w:val="44"/>
          <w:szCs w:val="44"/>
        </w:rPr>
      </w:pPr>
    </w:p>
    <w:p w14:paraId="619EC5F8">
      <w:pPr>
        <w:widowControl/>
        <w:spacing w:before="0" w:beforeLines="0" w:beforeAutospacing="0" w:after="0" w:afterLines="0" w:afterAutospacing="0" w:line="240" w:lineRule="auto"/>
        <w:jc w:val="left"/>
        <w:rPr>
          <w:rFonts w:ascii="宋体" w:eastAsia="宋体"/>
          <w:sz w:val="44"/>
          <w:szCs w:val="44"/>
        </w:rPr>
      </w:pPr>
    </w:p>
    <w:p w14:paraId="72B2F446">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新疆维吾尔自治区设施农业和特色农业研究发展中心</w:t>
      </w:r>
    </w:p>
    <w:p w14:paraId="22C0D7D0">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62CD7592">
      <w:pPr>
        <w:widowControl/>
      </w:pPr>
      <w:r>
        <w:rPr>
          <w:b w:val="0"/>
          <w:sz w:val="0"/>
          <w:szCs w:val="0"/>
        </w:rPr>
        <w:br w:type="page"/>
      </w:r>
    </w:p>
    <w:p w14:paraId="5083CA4F">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C4D6E9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014CB58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19AD0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78A497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471930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5FDAF40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005F59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084B6A1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7C32D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1B0266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50DE2E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26A9629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4006FB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45C372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552CCE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9B00E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19ADC4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B40A8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39F43EF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6AD03C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05BB1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379309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A639C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C2405E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32D3CE4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BB8A01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360BB0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21D3226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E10A8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FB8E6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0284E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65D86D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5CA0F2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5FB7F2B5">
      <w:pPr>
        <w:widowControl/>
      </w:pPr>
      <w:r>
        <w:rPr>
          <w:b w:val="0"/>
          <w:sz w:val="0"/>
          <w:szCs w:val="0"/>
        </w:rPr>
        <w:br w:type="page"/>
      </w:r>
    </w:p>
    <w:p w14:paraId="4E91379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03A613C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5741E17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开展设施农业、特色农业的生产技术标准制定、科技成果转化应用和相关监测工作；组织实施葡萄瓜果相关技术创新及研究应用等。</w:t>
      </w:r>
    </w:p>
    <w:p w14:paraId="31E070E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1A0328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新疆维吾尔自治区设施农业和特色农业研究发展中心无下属预算单位。</w:t>
      </w:r>
    </w:p>
    <w:p w14:paraId="4411040C">
      <w:pPr>
        <w:widowControl/>
      </w:pPr>
      <w:r>
        <w:rPr>
          <w:b w:val="0"/>
          <w:sz w:val="0"/>
          <w:szCs w:val="0"/>
        </w:rPr>
        <w:br w:type="page"/>
      </w:r>
    </w:p>
    <w:p w14:paraId="227A11F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E70622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6B754F8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2025年度收入总计2,744.95万元，其中：本年收入合计2,409.88万元，使用非财政拨款结余（含专用结余）0.00万元，年初结转和结余335.07万元。</w:t>
      </w:r>
    </w:p>
    <w:p w14:paraId="187E3C7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2025年度支出总计2,744.95万元，其中：本年支出合计2,122.20万元，结余分配0.00万元，年末结转和结余622.75万元。</w:t>
      </w:r>
    </w:p>
    <w:p w14:paraId="2E07AF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收入支出总体与上年相比，增加294.14万元，增长12.00%，主要原因是：较上年增加做实2025年职业年金，增加科技重大专项、现代产业园项目、农业生产发展项目。</w:t>
      </w:r>
    </w:p>
    <w:p w14:paraId="5F25C3E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73B3FF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2,409.88万元，其中：财政拨款收入1,503.32万元,占62.38%；上级补助收入0.00万元,占0.00%；事业收入88.13万元，占3.66%；经营收入0.00万元,占0.00%；附属单位上缴收入0.00万元，占0.00%；其他收入818.43万元，占33.96%。</w:t>
      </w:r>
    </w:p>
    <w:p w14:paraId="07DA6EC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567AA3D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本年支出2,122.20万元，其中：基本支出1,280.76万元，占60.35%；项目支出841.44万元，占39.65%；上缴上级支出0.00万元，占0.00%；经营支出0.00万元，占0.00%；对附属单位补助支出0.00万元，占0.00%。</w:t>
      </w:r>
    </w:p>
    <w:p w14:paraId="0D4F9C9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D41E74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1,503.32万元，其中：年初财政拨款结转和结余0.00万元，本年财政拨款收入1,503.32万元。财政拨款支出总计1,503.32万元，其中：年末财政拨款结转和结余0.00万元，本年财政拨款支出1,503.32万元。</w:t>
      </w:r>
    </w:p>
    <w:p w14:paraId="2919FC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22.53万元，下降1.48%，主要原因是：智力援疆创新拓展人才计划项目较上年有所减少。与年初预算相比，年初预算数1,237.95万元，决算数1,503.32万元，预决算差异率21.44%，主要原因是：年中追加人员工资、社保、公积金基数调增部分资金及做实2025年职业年金，导致预决算存在差异；年中追加新疆人才发展基金2025年度第二轮支持项目-天山英才培养计划项目和新疆人才发展基金2025年度第一轮支持项目-天池英才引进计划项目，导致预决算存在差异。</w:t>
      </w:r>
    </w:p>
    <w:p w14:paraId="10099BC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152A2E7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67F6AA79">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按照支出功能分类，科学技术支出（类）应用研究（款）机构运行（项）的支出占本年财政拨款支出总额的比重最高，2025年度决算数为1,280.08万元，占比85.15%，主要用于</w:t>
      </w:r>
      <w:r>
        <w:rPr>
          <w:rFonts w:hint="eastAsia" w:ascii="仿宋_GB2312" w:eastAsia="仿宋_GB2312"/>
          <w:b w:val="0"/>
          <w:sz w:val="32"/>
          <w:szCs w:val="32"/>
          <w:lang w:val="en-US" w:eastAsia="zh-CN"/>
        </w:rPr>
        <w:t>人员工资福利、日常公用经费</w:t>
      </w:r>
      <w:r>
        <w:rPr>
          <w:rFonts w:ascii="仿宋_GB2312" w:eastAsia="仿宋_GB2312"/>
          <w:b w:val="0"/>
          <w:sz w:val="32"/>
          <w:szCs w:val="32"/>
        </w:rPr>
        <w:t>。</w:t>
      </w:r>
    </w:p>
    <w:p w14:paraId="7DD2E22B">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780952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1,503.32万元，占本年支出合计的70.84%。与上年相比，增加33.32万元，增长2.27%，主要原因是：职工基本医疗保险和做实2025年职业年金较上年增加。与年初预算相比，年初预算数1,237.95万元，决算数1,503.32万元，预决算差异率21.44%，主要原因是：年中追加人员工资、社保、公积金基数调增部分资金及做实2025年职业年金，导致预决算存在差异；年中追加新疆人才发展基金2025年度第二轮支持项目-天山英才培养计划项目和新疆人才发展基金2025年度第一轮支持项目-天池英才引进计划项目，导致预决算存在差异。</w:t>
      </w:r>
    </w:p>
    <w:p w14:paraId="21B12A9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85FF0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1.科学技术支出（类）1,316.75万元，占87.59%。</w:t>
      </w:r>
    </w:p>
    <w:p w14:paraId="28C82C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2.社会保障和就业支出（类）37.00万元，占2.46%。</w:t>
      </w:r>
    </w:p>
    <w:p w14:paraId="3523889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3.农林水支出（类）149.57万元，占9.95%。</w:t>
      </w:r>
    </w:p>
    <w:p w14:paraId="3FC36E2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FF50D9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科学技术支出（类）基础研究（款）科技人才队伍建设（项）：支出决算数为36.67万元，比上年决算增加16.67万元，增长83.35%，主要原因是：本年增加新疆人才发展基金2025年度第二轮支持项目-天山英才培养计划项目。</w:t>
      </w:r>
    </w:p>
    <w:p w14:paraId="7409A60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科学技术支出（类）应用研究（款）机构运行（项）：支出决算数为1,280.08万元，比上年决算增加38.08万元，增长3.07%，主要原因是：本年在职人员工资、社保、公积金基数调增部分资金及做实2025年职业年金，导致相关人员经费较上年有所增加。</w:t>
      </w:r>
    </w:p>
    <w:p w14:paraId="21B6668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人力资源和社会保障管理事务（款）其他人力资源和社会保障管理事务支出（项）：支出决算数为37.00万元，比上年决算增加12.00万元，增长48.00%，主要原因是：本年增加新疆人才发展基金2025年度第一轮支持项目-天池英才引进计划项目。</w:t>
      </w:r>
    </w:p>
    <w:p w14:paraId="0A8C9CE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农林水支出（类）农业农村（款）科技转化与推广服务（项）：支出决算数为142.00万元，比上年决算减少41.00万元，下降22.40%，主要原因是：本年减少智力援疆创新拓展人才计划项目。</w:t>
      </w:r>
    </w:p>
    <w:p w14:paraId="106C9E6F">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农林水支出（类）林业和草原（款）产业化管理（项）：支出决算数为7.57万元，比上年决算增加7.57万元，增长100.00%，主要原因是：本年增加林草现代产业体系构建支出-全疆林果业发展项目。</w:t>
      </w:r>
    </w:p>
    <w:p w14:paraId="5A2C544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D8840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1,280.08万元，其中：人员经费1,197.68万元，包括：基本工资、津贴补贴、奖金、绩效工资、机关事业单位基本养老保险缴费、职业年金缴费、职工基本医疗保险缴费、公务员医疗补助缴费、其他社会保障缴费、住房公积金、其他工资福利支出、退休费、奖励金和其他对个人和家庭的补助。</w:t>
      </w:r>
    </w:p>
    <w:p w14:paraId="2C5AF23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公用经费82.40万元，包括：办公费、水费、电费、邮电费、取暖费、物业管理费、差旅费、工会经费、福利费、公务用车运行维护费和其他商品和服务支出。</w:t>
      </w:r>
    </w:p>
    <w:p w14:paraId="71D8D30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53FF5F5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A645CF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2F0AF0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A30420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566D5A5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1.36万元，比上年减少0.12万元，下降8.11%，主要原因是：本年未安排公务接待工作，导致公务接待费较上年减少。其中：因公出国（境）费用支出0.00万元,占0.00%，与上年相比无变化，主要原因是：</w:t>
      </w:r>
      <w:r>
        <w:rPr>
          <w:rFonts w:hint="eastAsia" w:ascii="仿宋_GB2312" w:eastAsia="仿宋_GB2312"/>
          <w:b w:val="0"/>
          <w:sz w:val="32"/>
          <w:szCs w:val="32"/>
          <w:lang w:val="en-US" w:eastAsia="zh-CN"/>
        </w:rPr>
        <w:t>2024</w:t>
      </w:r>
      <w:r>
        <w:rPr>
          <w:rFonts w:ascii="仿宋_GB2312" w:eastAsia="仿宋_GB2312"/>
          <w:b w:val="0"/>
          <w:sz w:val="32"/>
          <w:szCs w:val="32"/>
        </w:rPr>
        <w:t>年和</w:t>
      </w:r>
      <w:r>
        <w:rPr>
          <w:rFonts w:hint="eastAsia" w:ascii="仿宋_GB2312" w:eastAsia="仿宋_GB2312"/>
          <w:b w:val="0"/>
          <w:sz w:val="32"/>
          <w:szCs w:val="32"/>
          <w:lang w:val="en-US" w:eastAsia="zh-CN"/>
        </w:rPr>
        <w:t>2025</w:t>
      </w:r>
      <w:r>
        <w:rPr>
          <w:rFonts w:ascii="仿宋_GB2312" w:eastAsia="仿宋_GB2312"/>
          <w:b w:val="0"/>
          <w:sz w:val="32"/>
          <w:szCs w:val="32"/>
        </w:rPr>
        <w:t>年均未安排因公出国（境）费；公务用车购置及运行维护费支出1.36万元，占100.00%，与上年相比无变化，主要原因是：本年我单位公务用车购置及运行维护费与上年一致无变化；公务接待费支出0.00万元，占0.00%，比上年减少0.12万元，下降100%，主要原因是：本年未安排公务接待工作，导致公务接待费较上年减少。</w:t>
      </w:r>
    </w:p>
    <w:p w14:paraId="76CAA5D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7FE65CE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因公出国（境）费。单位全年安排的因公出国（境）团组0个，因公出国（境）0人次。</w:t>
      </w:r>
    </w:p>
    <w:p w14:paraId="482527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1.36万元，其中：公务用车购置费0.00万元，公务用车运行维护费1.36万元。公务用车运行维护费开支内容包括车辆年审及保险费、油料费、维修费和过路费。公务用车购置数0辆，公务用车保有量1辆。国有资产占用情况中固定资产车辆1辆，与公务用车保有量差异原因是：本单位公务用车保有量与固定资产车辆一致无差异。</w:t>
      </w:r>
    </w:p>
    <w:p w14:paraId="404059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公务接待费。单位全年安排的国内公务接待0批次，0人次。</w:t>
      </w:r>
    </w:p>
    <w:p w14:paraId="53B2AB6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1.36万元，决算数1.36万元，预决算差异率0.00%，主要原因是：严格按照预算执行，预决算无差异。其中：因公出国（境）费用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1.36万元，决算数1.36万元，预决算差异率0.00%，主要原因是：严格按照预算执行，预决算无差异；公务接待费全年预算数0.00万元，决算数0.00万元，预决算差异率0.00%，主要原因是：本单位无公务接待费。</w:t>
      </w:r>
    </w:p>
    <w:p w14:paraId="135A66B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8887B1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1183E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2025年度新疆维吾尔自治区设施农业和特色农业研究发展中心（事业单位）公用经费支出82.40万元，比上年减少3.30万元，下降3.85%，主要原因是：本年人员减少，相应的公用经费中的工会经费和福利费减少。</w:t>
      </w:r>
    </w:p>
    <w:p w14:paraId="0A8490B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6E878A0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2025年度政府采购支出总额429.62万元，其中：政府采购货物支出13.00万元、政府采购工程支出0.00万元、政府采购服务支出416.63万元。</w:t>
      </w:r>
    </w:p>
    <w:p w14:paraId="3B03DE7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授予中小企业合同金额214.81万元，占政府采购支出总额的50.00%，其中：授予小微企业合同金额214.81万元，占政府采购支出总额的50.00%。</w:t>
      </w:r>
    </w:p>
    <w:p w14:paraId="7EE3291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125E9ED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19,847.91平方米，价值1,799.64万元。车辆1辆，价值27.39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2台（套）。</w:t>
      </w:r>
    </w:p>
    <w:p w14:paraId="7FA196B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07BEFC5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520.69万元，全年执行数520.69万元。预算绩效管理取得的成效：一是通过开展预算项目的绩效评价，梳理项目执行情况、取得的成效、资金使用和制度建设情况，及时总结经验，发现问题，提出整改意见和建议；二是通过绩效评价，进一步规范项目实施程序，加强项目管理和监督，完善制度建设，严格资金的使用管理，确保项目资金使用管理的规范性、安全性和有效性，确保项目按时、按质、按量完成。发现的问题及原因：一是预算绩效管理意识有待提高，绩效管理意识不强；二是缺少熟悉运用预算绩效管理专门的工作人员，相关的工作人员进行预算绩效管理的经验不足，人员知识储备和培训强度远远达不到要求，导致前期绩效目标不够细致，没有考虑到项目实施可能遇到变量。下一步改进措施：一是完善预算绩效管理基础工作，做细各项绩效指标；二是抓好绩效评价管理部门的队伍建设和业务指导，培育部门的绩效评价管理队伍，并加强业务培训。具体附项目支出绩效自评表。</w:t>
      </w:r>
    </w:p>
    <w:p w14:paraId="2BDD25D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7AF17D8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650CCE37">
      <w:pPr>
        <w:widowControl/>
        <w:spacing w:before="0" w:beforeLines="0" w:beforeAutospacing="0" w:after="0" w:afterLines="0" w:afterAutospacing="0" w:line="240" w:lineRule="auto"/>
        <w:ind w:firstLine="640" w:firstLineChars="200"/>
        <w:jc w:val="left"/>
        <w:rPr>
          <w:rFonts w:ascii="仿宋_GB2312" w:eastAsia="仿宋_GB2312"/>
          <w:sz w:val="32"/>
          <w:szCs w:val="32"/>
        </w:rPr>
      </w:pPr>
      <w:bookmarkStart w:id="0" w:name="_GoBack"/>
      <w:bookmarkEnd w:id="0"/>
    </w:p>
    <w:p w14:paraId="4038130F">
      <w:pPr>
        <w:widowControl/>
      </w:pPr>
      <w:r>
        <w:rPr>
          <w:b w:val="0"/>
          <w:sz w:val="0"/>
          <w:szCs w:val="0"/>
        </w:rPr>
        <w:br w:type="page"/>
      </w:r>
    </w:p>
    <w:p w14:paraId="7938F11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26D6BA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7859857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7164996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078BCB1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7C3AAE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30033AC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72E540F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B241EE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26FF409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4F4C990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5CA56B2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3BA31F4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444E2DD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1DDA2A7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4A00CE4D">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4F222D1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CB92C6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41E7397B">
      <w:pPr>
        <w:widowControl/>
      </w:pPr>
      <w:r>
        <w:rPr>
          <w:b w:val="0"/>
          <w:sz w:val="0"/>
          <w:szCs w:val="0"/>
        </w:rPr>
        <w:br w:type="page"/>
      </w:r>
    </w:p>
    <w:p w14:paraId="5E6A497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5660F48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292F6C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E2B754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46022E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1A2531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E40214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AA6DCB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B72603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68A3704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seFELayout/>
    <w:splitPgBreakAndParaMark/>
    <w:compatSetting w:name="compatibilityMode" w:uri="http://schemas.microsoft.com/office/word" w:val="12"/>
  </w:compat>
  <w:rsids>
    <w:rsidRoot w:val="00000000"/>
    <w:rsid w:val="1BEE7004"/>
    <w:rsid w:val="405573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5573</Words>
  <Characters>6230</Characters>
  <TotalTime>15</TotalTime>
  <ScaleCrop>false</ScaleCrop>
  <LinksUpToDate>false</LinksUpToDate>
  <CharactersWithSpaces>6237</CharactersWithSpaces>
  <Application>WPS Office_12.1.0.26885_F1E327BC-269C-435d-A152-05C5408002CA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2026-08-24T09:55:00Z</dcterms:created>
  <dc:creator>Administrator.SKY-20210915WEY</dc:creator>
  <cp:lastModifiedBy>W.w</cp:lastModifiedBy>
  <dcterms:modified xsi:type="dcterms:W3CDTF">2026-08-26T13:39:40Z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B8C8AB74EF2E46C09F9C1762E5C8DE7E</vt:lpwstr>
  </property>
  <property fmtid="{D5CDD505-2E9C-101B-9397-08002B2CF9AE}" pid="4" name="KSOTemplateDocerSaveRecord">
    <vt:lpwstr>eyJoZGlkIjoiYTZjZThjMDFjYjU0NDRjYWE1YjFlZmFjNmU0NDBiYTgiLCJ1c2VySWQiOiI0NjExNzA3OTgifQ==</vt:lpwstr>
  </property>
</Properties>
</file>