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535955">
      <w:pPr>
        <w:widowControl/>
        <w:spacing w:before="0" w:beforeLines="0" w:beforeAutospacing="0" w:after="0" w:afterLines="0" w:afterAutospacing="0" w:line="240" w:lineRule="auto"/>
        <w:jc w:val="left"/>
        <w:rPr>
          <w:rFonts w:ascii="宋体" w:eastAsia="宋体"/>
          <w:sz w:val="32"/>
          <w:szCs w:val="32"/>
        </w:rPr>
      </w:pPr>
    </w:p>
    <w:p w14:paraId="300D7777">
      <w:pPr>
        <w:widowControl/>
        <w:spacing w:before="0" w:beforeLines="0" w:beforeAutospacing="0" w:after="0" w:afterLines="0" w:afterAutospacing="0" w:line="240" w:lineRule="auto"/>
        <w:jc w:val="left"/>
        <w:rPr>
          <w:rFonts w:ascii="宋体" w:eastAsia="宋体"/>
          <w:sz w:val="44"/>
          <w:szCs w:val="44"/>
        </w:rPr>
      </w:pPr>
    </w:p>
    <w:p w14:paraId="4C0682A6">
      <w:pPr>
        <w:widowControl/>
        <w:spacing w:before="0" w:beforeLines="0" w:beforeAutospacing="0" w:after="0" w:afterLines="0" w:afterAutospacing="0" w:line="240" w:lineRule="auto"/>
        <w:jc w:val="left"/>
        <w:rPr>
          <w:rFonts w:ascii="宋体" w:eastAsia="宋体"/>
          <w:sz w:val="44"/>
          <w:szCs w:val="44"/>
        </w:rPr>
      </w:pPr>
    </w:p>
    <w:p w14:paraId="4E8267AE">
      <w:pPr>
        <w:widowControl/>
        <w:spacing w:before="0" w:beforeLines="0" w:beforeAutospacing="0" w:after="0" w:afterLines="0" w:afterAutospacing="0" w:line="240" w:lineRule="auto"/>
        <w:jc w:val="left"/>
        <w:rPr>
          <w:rFonts w:ascii="宋体" w:eastAsia="宋体"/>
          <w:sz w:val="44"/>
          <w:szCs w:val="44"/>
        </w:rPr>
      </w:pPr>
    </w:p>
    <w:p w14:paraId="33F2639A">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新疆维吾尔自治区林业科学院</w:t>
      </w:r>
    </w:p>
    <w:p w14:paraId="49A906B9">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2025年度部门决算公开说明</w:t>
      </w:r>
    </w:p>
    <w:p w14:paraId="7E865CB2">
      <w:pPr>
        <w:widowControl/>
      </w:pPr>
      <w:r>
        <w:rPr>
          <w:b w:val="0"/>
          <w:sz w:val="0"/>
          <w:szCs w:val="0"/>
        </w:rPr>
        <w:br w:type="page"/>
      </w:r>
    </w:p>
    <w:p w14:paraId="6ACEB760">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14:paraId="211FD421">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sz w:val="32"/>
          <w:szCs w:val="32"/>
        </w:rPr>
        <w:t>第一部分部门概况</w:t>
      </w:r>
    </w:p>
    <w:p w14:paraId="36A05791">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一、主要职能</w:t>
      </w:r>
    </w:p>
    <w:p w14:paraId="47AAD6A8">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二、机构设置</w:t>
      </w:r>
    </w:p>
    <w:p w14:paraId="09F4946A">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sz w:val="32"/>
          <w:szCs w:val="32"/>
        </w:rPr>
        <w:t>第二部分 部门决算情况说明</w:t>
      </w:r>
    </w:p>
    <w:p w14:paraId="4D955864">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一、收入支出决算总体情况说明</w:t>
      </w:r>
    </w:p>
    <w:p w14:paraId="04E05F53">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二、收入决算情况说明</w:t>
      </w:r>
    </w:p>
    <w:p w14:paraId="1D947C2F">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三、支出决算情况说明</w:t>
      </w:r>
    </w:p>
    <w:p w14:paraId="5F1025F7">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四、财政拨款收入支出决算总体情况说明</w:t>
      </w:r>
    </w:p>
    <w:p w14:paraId="2819605E">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五、一般公共预算财政拨款支出决算情况说明</w:t>
      </w:r>
    </w:p>
    <w:p w14:paraId="689E3571">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（一）一般公共预算财政拨款支出决算总体情况</w:t>
      </w:r>
    </w:p>
    <w:p w14:paraId="2DAF2D60">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（二）一般公共预算财政拨款支出决算结构情况</w:t>
      </w:r>
    </w:p>
    <w:p w14:paraId="2CABD72A">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（三）一般公共预算财政拨款支出决算具体情况</w:t>
      </w:r>
    </w:p>
    <w:p w14:paraId="282E0C68">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六、一般公共预算财政拨款基本支出决算情况说明</w:t>
      </w:r>
    </w:p>
    <w:p w14:paraId="3D6BD38E">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七、政府性基金预算财政拨款收入支出决算情况说明</w:t>
      </w:r>
    </w:p>
    <w:p w14:paraId="0D14B93C">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八、国有资本经营预算财政拨款收入支出决算情况说明</w:t>
      </w:r>
    </w:p>
    <w:p w14:paraId="5AFFDF20">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九、财政拨款“三公”经费支出决算情况说明</w:t>
      </w:r>
    </w:p>
    <w:p w14:paraId="1A57A04A">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十、其他重要事项的情况说明</w:t>
      </w:r>
    </w:p>
    <w:p w14:paraId="19798F08">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（一）机关运行经费及公用经费支出情况</w:t>
      </w:r>
    </w:p>
    <w:p w14:paraId="7E35153B">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（二）政府采购情况</w:t>
      </w:r>
    </w:p>
    <w:p w14:paraId="1C1E0B1E">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（三）国有资产占用情况说明</w:t>
      </w:r>
    </w:p>
    <w:p w14:paraId="4A1AEA5C">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十一、预算绩效的情况说明</w:t>
      </w:r>
    </w:p>
    <w:p w14:paraId="38AA0053">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十二、其他需说明的事项</w:t>
      </w:r>
    </w:p>
    <w:p w14:paraId="0FDA460F">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sz w:val="32"/>
          <w:szCs w:val="32"/>
        </w:rPr>
        <w:t>第三部分 专业名词解释</w:t>
      </w:r>
    </w:p>
    <w:p w14:paraId="79EC401D">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sz w:val="32"/>
          <w:szCs w:val="32"/>
        </w:rPr>
        <w:t>第四部分 部门决算报表（见附表）</w:t>
      </w:r>
    </w:p>
    <w:p w14:paraId="31155A4E">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一、《收入支出决算总表》</w:t>
      </w:r>
    </w:p>
    <w:p w14:paraId="351AB26A">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二、《收入决算表》</w:t>
      </w:r>
    </w:p>
    <w:p w14:paraId="594BBD55">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三、《支出决算表》</w:t>
      </w:r>
    </w:p>
    <w:p w14:paraId="3A3F8352">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四、《财政拨款收入支出决算总表》</w:t>
      </w:r>
    </w:p>
    <w:p w14:paraId="0C753287">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五、《一般公共预算财政拨款支出决算表》</w:t>
      </w:r>
    </w:p>
    <w:p w14:paraId="7CEBA4BC">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六、《一般公共预算财政拨款基本支出决算表》</w:t>
      </w:r>
    </w:p>
    <w:p w14:paraId="12B50C0E">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七、《政府性基金预算财政拨款收入支出决算表》</w:t>
      </w:r>
    </w:p>
    <w:p w14:paraId="3845A2D3">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八、《国有资本经营预算财政拨款收入支出决算表》</w:t>
      </w:r>
    </w:p>
    <w:p w14:paraId="6C77EFEA">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九、《财政拨款“三公”经费支出决算表》</w:t>
      </w:r>
    </w:p>
    <w:p w14:paraId="73EBD199">
      <w:pPr>
        <w:widowControl/>
        <w:jc w:val="both"/>
      </w:pPr>
      <w:r>
        <w:rPr>
          <w:b w:val="0"/>
          <w:sz w:val="0"/>
          <w:szCs w:val="0"/>
        </w:rPr>
        <w:br w:type="page"/>
      </w:r>
    </w:p>
    <w:p w14:paraId="4B92B837">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第一部分部门概况</w:t>
      </w:r>
    </w:p>
    <w:p w14:paraId="4E25DAB5">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14:paraId="5BF1631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（一）承担国家、国家林业和草原局和自治区的林业科学研究、推广、开发任务。</w:t>
      </w:r>
    </w:p>
    <w:p w14:paraId="66F2520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（二）开展自治区干旱、半干旱和荒漠化防护林体系建设及绿洲生态的研究。</w:t>
      </w:r>
    </w:p>
    <w:p w14:paraId="6FD5A34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（三）开展自治区森林资源保护与生态环境建设，天然林保护，退耕还林的研究工作。</w:t>
      </w:r>
    </w:p>
    <w:p w14:paraId="25C03FD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（四）承担适合自治区生长的林果业技术研究工作。</w:t>
      </w:r>
    </w:p>
    <w:p w14:paraId="5B06A02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（五）承担自治区城市绿化、荒山绿化规划施工的研究推广，观赏园林园艺的景观设计研究工作。</w:t>
      </w:r>
    </w:p>
    <w:p w14:paraId="7D20341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（六）承担现代林业理论</w:t>
      </w:r>
      <w:r>
        <w:rPr>
          <w:rFonts w:hint="eastAsia" w:ascii="仿宋_GB2312" w:eastAsia="仿宋_GB2312"/>
          <w:b w:val="0"/>
          <w:sz w:val="32"/>
          <w:szCs w:val="32"/>
          <w:lang w:eastAsia="zh-CN"/>
        </w:rPr>
        <w:t>、</w:t>
      </w:r>
      <w:r>
        <w:rPr>
          <w:rFonts w:ascii="仿宋_GB2312" w:eastAsia="仿宋_GB2312"/>
          <w:b w:val="0"/>
          <w:sz w:val="32"/>
          <w:szCs w:val="32"/>
        </w:rPr>
        <w:t>技术等研究工作。</w:t>
      </w:r>
    </w:p>
    <w:p w14:paraId="46F3FFF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（七）组织实施以林业为主题的科技扶贫、科技下乡、技术咨询、科技示范园建设等工作。</w:t>
      </w:r>
    </w:p>
    <w:p w14:paraId="0389C9C2">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w:t>
      </w:r>
    </w:p>
    <w:p w14:paraId="026BA92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从部门决算单位构成看，新疆维吾尔自治区林业科学院部门决算包括：新疆维吾尔自治区林业科学院（本级）决算及所属单位决算。</w:t>
      </w:r>
    </w:p>
    <w:p w14:paraId="1302D43E">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纳入新疆维吾尔自治区林业科学院2025年度部门决算编制范围的下属预算单位包括：</w:t>
      </w:r>
    </w:p>
    <w:p w14:paraId="58A5C5ED">
      <w:pPr>
        <w:widowControl/>
        <w:numPr>
          <w:ilvl w:val="0"/>
          <w:numId w:val="1"/>
        </w:numPr>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新疆维吾尔自治区林业科学院（本级）</w:t>
      </w:r>
    </w:p>
    <w:p w14:paraId="5C2F11F4">
      <w:pPr>
        <w:widowControl/>
        <w:numPr>
          <w:ilvl w:val="0"/>
          <w:numId w:val="1"/>
        </w:numPr>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新疆林科院森林生态研究所</w:t>
      </w:r>
    </w:p>
    <w:p w14:paraId="0C5A2C09">
      <w:pPr>
        <w:widowControl/>
        <w:numPr>
          <w:ilvl w:val="0"/>
          <w:numId w:val="1"/>
        </w:numPr>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新疆林科院造林治沙研究所</w:t>
      </w:r>
    </w:p>
    <w:p w14:paraId="7C5DA324">
      <w:pPr>
        <w:widowControl/>
        <w:numPr>
          <w:ilvl w:val="0"/>
          <w:numId w:val="1"/>
        </w:numPr>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新疆林科院经济林研究所</w:t>
      </w:r>
    </w:p>
    <w:p w14:paraId="04270649">
      <w:pPr>
        <w:widowControl/>
        <w:numPr>
          <w:ilvl w:val="0"/>
          <w:numId w:val="1"/>
        </w:numPr>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新疆林科院园林绿化研究所</w:t>
      </w:r>
    </w:p>
    <w:p w14:paraId="75D5B71B">
      <w:pPr>
        <w:widowControl/>
        <w:numPr>
          <w:ilvl w:val="0"/>
          <w:numId w:val="1"/>
        </w:numPr>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新疆林业科学院现代林业研究所</w:t>
      </w:r>
    </w:p>
    <w:p w14:paraId="650FCD97">
      <w:pPr>
        <w:widowControl/>
        <w:numPr>
          <w:ilvl w:val="0"/>
          <w:numId w:val="1"/>
        </w:numPr>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新疆林业测试中心</w:t>
      </w:r>
    </w:p>
    <w:p w14:paraId="583152CD">
      <w:pPr>
        <w:widowControl/>
      </w:pPr>
      <w:r>
        <w:rPr>
          <w:b w:val="0"/>
          <w:sz w:val="0"/>
          <w:szCs w:val="0"/>
        </w:rPr>
        <w:br w:type="page"/>
      </w:r>
    </w:p>
    <w:p w14:paraId="647A5494">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 部门决算情况说明</w:t>
      </w:r>
    </w:p>
    <w:p w14:paraId="604E9432">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14:paraId="3B98159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2025年度收入总计23,103.19万元，其中：本年收入合计17,089.46万元，使用非财政拨款结余（含专用结余）0.00万元，年初结转和结余6,013.73万元。</w:t>
      </w:r>
    </w:p>
    <w:p w14:paraId="5A5AF52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2025年度支出总计23,103.19万元，其中：本年支出合计17,133.99万元，结余分配0.00万元，年末结转和结余5,969.19万元。</w:t>
      </w:r>
    </w:p>
    <w:p w14:paraId="43363E1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784.14万元，增长3.51%，主要原因是：本年度新增艾比湖流域生态综合整治关键技术研发、基于林果资源大数据的气象灾害智能检测研究、新疆肉苁蓉产业提质增效关键技术研究与应用、新疆林果栽培与加工技术平台建设等重点研发项目，经费较上年增加。</w:t>
      </w:r>
    </w:p>
    <w:p w14:paraId="1274288F">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14:paraId="6B56B94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17,089.46万元，其中：财政拨款收入8,831.40万元,占51.68%；上级补助收入0.00万元,占0.00%；事业收入8,248.09万元，占48.26%；经营收入0.00万元,占0.00%；附属单位上缴收入0.00万元，占0.00%；其他收入9.97万元，占0.06%。</w:t>
      </w:r>
    </w:p>
    <w:p w14:paraId="40E4DF9E">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14:paraId="434B1DD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本年支出17,133.99万元，其中：基本支出5,595.88万元，占32.66%；项目支出11,538.11万元，占67.34%；上缴上级支出0.00万元，占0.00%；经营支出0.00万元，占0.00%；对附属单位补助支出0.00万元，占0.00%。</w:t>
      </w:r>
    </w:p>
    <w:p w14:paraId="1CE4D27E">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14:paraId="6C66DF3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收入总计8,831.40万元，其中：年初财政拨款结转和结余0.00万元，本年财政拨款收入8,831.40万元。财政拨款支出总计8,831.40万元，其中：年末财政拨款结转和结余0.00万元，本年财政拨款支出8,831.40万元。</w:t>
      </w:r>
    </w:p>
    <w:p w14:paraId="67B5EB7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财政拨款收入支出总体与上年相比，减少844.37万元，下降8.73%，主要原因是：</w:t>
      </w:r>
      <w:r>
        <w:rPr>
          <w:rFonts w:hint="eastAsia" w:ascii="仿宋_GB2312" w:eastAsia="仿宋_GB2312"/>
          <w:b w:val="0"/>
          <w:sz w:val="32"/>
          <w:szCs w:val="32"/>
        </w:rPr>
        <w:t>本年减少生态树种新品种选育及修复关键技术研究、喀什地区枣树病毒病水肥药一体化综合防控关键技术示范推广项目等</w:t>
      </w:r>
      <w:r>
        <w:rPr>
          <w:rFonts w:ascii="仿宋_GB2312" w:eastAsia="仿宋_GB2312"/>
          <w:b w:val="0"/>
          <w:sz w:val="32"/>
          <w:szCs w:val="32"/>
        </w:rPr>
        <w:t>。与年初预算相比，年初预算数6,586.33万元，决算数8,831.40万元，预决算差异率34.09%，主要原因是：</w:t>
      </w:r>
      <w:r>
        <w:rPr>
          <w:rFonts w:hint="eastAsia" w:ascii="仿宋_GB2312" w:eastAsia="仿宋_GB2312"/>
          <w:b w:val="0"/>
          <w:sz w:val="32"/>
          <w:szCs w:val="32"/>
        </w:rPr>
        <w:t>一是年中追加人员工资、社保、公积金基数调增部分资金及做实2025年职业年金，导致预决算存在差异；二是年中追加新疆塔里木河胡杨林生态系统国家定位观测研究二期建设、新疆天山森林生态系统国家定位观测研究站三期建设、2025年中央林草良种培育-新疆分库等财政专项项目，导致预决算存在差异</w:t>
      </w:r>
      <w:r>
        <w:rPr>
          <w:rFonts w:ascii="仿宋_GB2312" w:eastAsia="仿宋_GB2312"/>
          <w:b w:val="0"/>
          <w:sz w:val="32"/>
          <w:szCs w:val="32"/>
        </w:rPr>
        <w:t>。</w:t>
      </w:r>
    </w:p>
    <w:p w14:paraId="3CC05374">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14:paraId="4EE307CB">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党中央、国务院关于党政机关习惯过紧日子的有关要求，厉行节约办一切事业，严控一般性支出。同时坚持有保有压，优化支出结构，提高资金使用效率，合理保障科研业务开展、人才队伍建设、单位运转保障等重点支出，体现在有关支出科目中。</w:t>
      </w:r>
    </w:p>
    <w:p w14:paraId="54D7ACCF">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按照支出功能分类，科学技术支出（类）应用研究（款）机构运行（项）的支出占本年财政拨款支出总额的比重最高，2025年度决算数为5,376.07万元，占比60.87%，主要用于保障</w:t>
      </w:r>
      <w:r>
        <w:rPr>
          <w:rFonts w:hint="eastAsia" w:ascii="仿宋_GB2312" w:eastAsia="仿宋_GB2312"/>
          <w:b w:val="0"/>
          <w:sz w:val="32"/>
          <w:szCs w:val="32"/>
          <w:lang w:val="en-US" w:eastAsia="zh-CN"/>
        </w:rPr>
        <w:t>部门</w:t>
      </w:r>
      <w:r>
        <w:rPr>
          <w:rFonts w:ascii="仿宋_GB2312" w:eastAsia="仿宋_GB2312"/>
          <w:b w:val="0"/>
          <w:sz w:val="32"/>
          <w:szCs w:val="32"/>
        </w:rPr>
        <w:t>日常履职运转、人才队伍建设及基层科研工作有序推进。具体涵盖</w:t>
      </w:r>
      <w:r>
        <w:rPr>
          <w:rFonts w:hint="eastAsia" w:ascii="仿宋_GB2312" w:eastAsia="仿宋_GB2312"/>
          <w:b w:val="0"/>
          <w:sz w:val="32"/>
          <w:szCs w:val="32"/>
          <w:lang w:val="en-US" w:eastAsia="zh-CN"/>
        </w:rPr>
        <w:t>部门</w:t>
      </w:r>
      <w:r>
        <w:rPr>
          <w:rFonts w:ascii="仿宋_GB2312" w:eastAsia="仿宋_GB2312"/>
          <w:b w:val="0"/>
          <w:sz w:val="32"/>
          <w:szCs w:val="32"/>
        </w:rPr>
        <w:t>在职人员工资福利、社会保障缴费等人员经费支出，保障科研人员稳定履职；覆盖办公运转、公务出行、耗材采购、设备维保等日常公用经费，维系</w:t>
      </w:r>
      <w:r>
        <w:rPr>
          <w:rFonts w:hint="eastAsia" w:ascii="仿宋_GB2312" w:eastAsia="仿宋_GB2312"/>
          <w:b w:val="0"/>
          <w:sz w:val="32"/>
          <w:szCs w:val="32"/>
          <w:lang w:val="en-US" w:eastAsia="zh-CN"/>
        </w:rPr>
        <w:t>部门</w:t>
      </w:r>
      <w:r>
        <w:rPr>
          <w:rFonts w:ascii="仿宋_GB2312" w:eastAsia="仿宋_GB2312"/>
          <w:b w:val="0"/>
          <w:sz w:val="32"/>
          <w:szCs w:val="32"/>
        </w:rPr>
        <w:t>常态化运转。</w:t>
      </w:r>
    </w:p>
    <w:p w14:paraId="73DA0DA6">
      <w:pPr>
        <w:widowControl/>
        <w:spacing w:before="0" w:beforeLines="0" w:beforeAutospacing="0" w:after="0" w:afterLines="0" w:afterAutospacing="0" w:line="240" w:lineRule="auto"/>
        <w:ind w:firstLine="640" w:firstLineChars="200"/>
        <w:jc w:val="both"/>
        <w:outlineLvl w:val="2"/>
        <w:rPr>
          <w:rFonts w:ascii="黑体" w:eastAsia="黑体"/>
          <w:sz w:val="32"/>
          <w:szCs w:val="32"/>
        </w:rPr>
      </w:pPr>
      <w:r>
        <w:rPr>
          <w:rFonts w:ascii="黑体" w:eastAsia="黑体"/>
          <w:b w:val="0"/>
          <w:sz w:val="32"/>
          <w:szCs w:val="32"/>
        </w:rPr>
        <w:t>（一）一般公共预算财政拨款支出决算总体情况</w:t>
      </w:r>
    </w:p>
    <w:p w14:paraId="5A919D9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2025年度一般公共预算财政拨款支出8,831.40万元，占本年支出合计的51.54%。与上年相比，减少844.37万元，下降8.73%，主要原因是：</w:t>
      </w:r>
      <w:r>
        <w:rPr>
          <w:rFonts w:hint="eastAsia" w:ascii="仿宋_GB2312" w:eastAsia="仿宋_GB2312"/>
          <w:b w:val="0"/>
          <w:sz w:val="32"/>
          <w:szCs w:val="32"/>
        </w:rPr>
        <w:t>本年减少生态树种新品种选育及修复关键技术研究、喀什地区枣树病毒病水肥药一体化综合防控关键技术示范推广项目等</w:t>
      </w:r>
      <w:r>
        <w:rPr>
          <w:rFonts w:ascii="仿宋_GB2312" w:eastAsia="仿宋_GB2312"/>
          <w:b w:val="0"/>
          <w:sz w:val="32"/>
          <w:szCs w:val="32"/>
        </w:rPr>
        <w:t>。与年初预算相比，年初预算数6,586.33万元，决算数8,831.40万元，预决算差异率34.09%，主要原因是：</w:t>
      </w:r>
      <w:r>
        <w:rPr>
          <w:rFonts w:hint="eastAsia" w:ascii="仿宋_GB2312" w:eastAsia="仿宋_GB2312"/>
          <w:b w:val="0"/>
          <w:sz w:val="32"/>
          <w:szCs w:val="32"/>
        </w:rPr>
        <w:t>一是年中追加人员工资、社保、公积金基数调增部分资金及做实2025年职业年金，导致预决算存在差异；二是年中追加新疆塔里木河胡杨林生态系统国家定位观测研究二期建设、新疆天山森林生态系统国家定位观测研究站三期建设、2025年中央林草良种培育-新疆分库等财政专项项目，导致预决算存在差异</w:t>
      </w:r>
      <w:r>
        <w:rPr>
          <w:rFonts w:ascii="仿宋_GB2312" w:eastAsia="仿宋_GB2312"/>
          <w:b w:val="0"/>
          <w:sz w:val="32"/>
          <w:szCs w:val="32"/>
        </w:rPr>
        <w:t>。</w:t>
      </w:r>
    </w:p>
    <w:p w14:paraId="62D124DC">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（二）一般公共预算财政拨款支出决算结构情况</w:t>
      </w:r>
    </w:p>
    <w:p w14:paraId="3349A1B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1.科学技术支出（类）5,695.01万元，占64.49%。</w:t>
      </w:r>
    </w:p>
    <w:p w14:paraId="41089D8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2.社会保障和就业支出（类）149.66万元，占1.69%。</w:t>
      </w:r>
    </w:p>
    <w:p w14:paraId="330376A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3.卫生健康支出（类）17.71万元，占0.20%。</w:t>
      </w:r>
    </w:p>
    <w:p w14:paraId="12A138D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4.节能环保支出（类）128.00万元，占1.45%。</w:t>
      </w:r>
    </w:p>
    <w:p w14:paraId="2BAC672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5.农林水支出（类）2,828.75万元，占32.03%。</w:t>
      </w:r>
    </w:p>
    <w:p w14:paraId="37D715E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6.住房保障支出（类）12.26万元，占0.14%。</w:t>
      </w:r>
    </w:p>
    <w:p w14:paraId="6E74C2B3">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（三）一般公共预算财政拨款支出决算具体情况</w:t>
      </w:r>
    </w:p>
    <w:p w14:paraId="313480D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w:t>
      </w:r>
      <w:r>
        <w:rPr>
          <w:rFonts w:hint="eastAsia" w:ascii="仿宋_GB2312" w:eastAsia="仿宋_GB2312"/>
          <w:b w:val="0"/>
          <w:sz w:val="32"/>
          <w:szCs w:val="32"/>
          <w:lang w:eastAsia="zh-CN"/>
        </w:rPr>
        <w:t>.</w:t>
      </w:r>
      <w:r>
        <w:rPr>
          <w:rFonts w:ascii="仿宋_GB2312" w:eastAsia="仿宋_GB2312"/>
          <w:b w:val="0"/>
          <w:sz w:val="32"/>
          <w:szCs w:val="32"/>
        </w:rPr>
        <w:t>科学技术支出（类）基础研究（款）科技人才队伍建设（项）：支出决算数为289.82万元，比上年决算增加39.53万元，增长15.79%，主要原因是：本年度新增科研创新平台人才团队支持计划项目，相应经费增加，造成该项支出决算数较上年有所增加。</w:t>
      </w:r>
    </w:p>
    <w:p w14:paraId="7C4621E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w:t>
      </w:r>
      <w:r>
        <w:rPr>
          <w:rFonts w:hint="eastAsia" w:ascii="仿宋_GB2312" w:eastAsia="仿宋_GB2312"/>
          <w:b w:val="0"/>
          <w:sz w:val="32"/>
          <w:szCs w:val="32"/>
          <w:lang w:eastAsia="zh-CN"/>
        </w:rPr>
        <w:t>.</w:t>
      </w:r>
      <w:r>
        <w:rPr>
          <w:rFonts w:ascii="仿宋_GB2312" w:eastAsia="仿宋_GB2312"/>
          <w:b w:val="0"/>
          <w:sz w:val="32"/>
          <w:szCs w:val="32"/>
        </w:rPr>
        <w:t>科学技术支出（类）应用研究（款）机构运行（项）：支出决算数为5,376.07万元，比上年决算增加674.07万元，增长14.34%，主要原因是：</w:t>
      </w:r>
      <w:r>
        <w:rPr>
          <w:rFonts w:hint="eastAsia" w:ascii="仿宋_GB2312" w:eastAsia="仿宋_GB2312"/>
          <w:b w:val="0"/>
          <w:sz w:val="32"/>
          <w:szCs w:val="32"/>
        </w:rPr>
        <w:t>一是本年在职人员工资调增，社保、公积金基数调增，人员经费增加；二是根据政策要求，本年在职人员职业年金做实，职业年金缴费较上年增加；三是本年人员去世，发放人员抚恤金</w:t>
      </w:r>
      <w:r>
        <w:rPr>
          <w:rFonts w:ascii="仿宋_GB2312" w:eastAsia="仿宋_GB2312"/>
          <w:b w:val="0"/>
          <w:sz w:val="32"/>
          <w:szCs w:val="32"/>
        </w:rPr>
        <w:t>。</w:t>
      </w:r>
    </w:p>
    <w:p w14:paraId="6970458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3</w:t>
      </w:r>
      <w:r>
        <w:rPr>
          <w:rFonts w:hint="eastAsia" w:ascii="仿宋_GB2312" w:eastAsia="仿宋_GB2312"/>
          <w:b w:val="0"/>
          <w:sz w:val="32"/>
          <w:szCs w:val="32"/>
          <w:lang w:eastAsia="zh-CN"/>
        </w:rPr>
        <w:t>.</w:t>
      </w:r>
      <w:r>
        <w:rPr>
          <w:rFonts w:ascii="仿宋_GB2312" w:eastAsia="仿宋_GB2312"/>
          <w:b w:val="0"/>
          <w:sz w:val="32"/>
          <w:szCs w:val="32"/>
        </w:rPr>
        <w:t>科学技术支出（类）应用研究（款）社会公益研究（项）：支出决算数为0.00万元，比上年决算减少100.00万元，下降100.00%，主要原因是：本年度未安排新疆树木园用工维护专项经费，造成该项支出决算数较上年减少。</w:t>
      </w:r>
    </w:p>
    <w:p w14:paraId="16820E0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4</w:t>
      </w:r>
      <w:r>
        <w:rPr>
          <w:rFonts w:hint="eastAsia" w:ascii="仿宋_GB2312" w:eastAsia="仿宋_GB2312"/>
          <w:b w:val="0"/>
          <w:sz w:val="32"/>
          <w:szCs w:val="32"/>
          <w:lang w:eastAsia="zh-CN"/>
        </w:rPr>
        <w:t>.</w:t>
      </w:r>
      <w:r>
        <w:rPr>
          <w:rFonts w:ascii="仿宋_GB2312" w:eastAsia="仿宋_GB2312"/>
          <w:b w:val="0"/>
          <w:sz w:val="32"/>
          <w:szCs w:val="32"/>
        </w:rPr>
        <w:t>科学技术支出（类）科技条件与服务（款）其他科技条件与服务支出（项）：支出决算数为29.12万元，比上年决算减少8.80万元，下降23.21%，主要原因是：本年度“三区”人才发展基金项目经费较上年减少，造成该项支出决算数较上年有所减少。</w:t>
      </w:r>
    </w:p>
    <w:p w14:paraId="72A1F0C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5</w:t>
      </w:r>
      <w:r>
        <w:rPr>
          <w:rFonts w:hint="eastAsia" w:ascii="仿宋_GB2312" w:eastAsia="仿宋_GB2312"/>
          <w:b w:val="0"/>
          <w:sz w:val="32"/>
          <w:szCs w:val="32"/>
          <w:lang w:eastAsia="zh-CN"/>
        </w:rPr>
        <w:t>.</w:t>
      </w:r>
      <w:r>
        <w:rPr>
          <w:rFonts w:ascii="仿宋_GB2312" w:eastAsia="仿宋_GB2312"/>
          <w:b w:val="0"/>
          <w:sz w:val="32"/>
          <w:szCs w:val="32"/>
        </w:rPr>
        <w:t>社会保障和就业支出（类）人力资源和社会保障管理事务（款）其他人力资源和社会保障管理事务支出（项）：支出决算数为103.00万元，比上年决算增加28.00万元，增长37.33%，主要原因是：本年度新增天池英才计划项目，相应经费增加，造成该项支出决算数较上年有所增加。</w:t>
      </w:r>
    </w:p>
    <w:p w14:paraId="63A15A8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6</w:t>
      </w:r>
      <w:r>
        <w:rPr>
          <w:rFonts w:hint="eastAsia" w:ascii="仿宋_GB2312" w:eastAsia="仿宋_GB2312"/>
          <w:b w:val="0"/>
          <w:sz w:val="32"/>
          <w:szCs w:val="32"/>
          <w:lang w:eastAsia="zh-CN"/>
        </w:rPr>
        <w:t>.</w:t>
      </w:r>
      <w:r>
        <w:rPr>
          <w:rFonts w:ascii="仿宋_GB2312" w:eastAsia="仿宋_GB2312"/>
          <w:b w:val="0"/>
          <w:sz w:val="32"/>
          <w:szCs w:val="32"/>
        </w:rPr>
        <w:t>社会保障和就业支出（类）行政事业单位养老支出（款）事业单位离退休（项）：支出决算数为30.67万元，比上年决算增加30.67万元，增长100.00%，主要原因是：</w:t>
      </w:r>
      <w:r>
        <w:rPr>
          <w:rFonts w:hint="eastAsia" w:ascii="仿宋_GB2312" w:eastAsia="仿宋_GB2312"/>
          <w:b w:val="0"/>
          <w:sz w:val="32"/>
          <w:szCs w:val="32"/>
        </w:rPr>
        <w:t>2025年因机构改革原因，原自治区林业生态总站合并至本单位，自治区林业生态总站退休人员经费单独科目列支，导致经费较上年增加</w:t>
      </w:r>
      <w:r>
        <w:rPr>
          <w:rFonts w:ascii="仿宋_GB2312" w:eastAsia="仿宋_GB2312"/>
          <w:b w:val="0"/>
          <w:sz w:val="32"/>
          <w:szCs w:val="32"/>
        </w:rPr>
        <w:t>。</w:t>
      </w:r>
    </w:p>
    <w:p w14:paraId="746697F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7</w:t>
      </w:r>
      <w:r>
        <w:rPr>
          <w:rFonts w:hint="eastAsia" w:ascii="仿宋_GB2312" w:eastAsia="仿宋_GB2312"/>
          <w:b w:val="0"/>
          <w:sz w:val="32"/>
          <w:szCs w:val="32"/>
          <w:lang w:eastAsia="zh-CN"/>
        </w:rPr>
        <w:t>.</w:t>
      </w:r>
      <w:r>
        <w:rPr>
          <w:rFonts w:ascii="仿宋_GB2312" w:eastAsia="仿宋_GB2312"/>
          <w:b w:val="0"/>
          <w:sz w:val="32"/>
          <w:szCs w:val="32"/>
        </w:rPr>
        <w:t>社会保障和就业支出（类）行政事业单位养老支出（款）机关事业单位基本养老保险缴费支出（项）：支出决算数为15.99万元，比上年决算增加15.99万元，增长100.00%，主要原因是：</w:t>
      </w:r>
      <w:r>
        <w:rPr>
          <w:rFonts w:hint="eastAsia" w:ascii="仿宋_GB2312" w:eastAsia="仿宋_GB2312"/>
          <w:b w:val="0"/>
          <w:sz w:val="32"/>
          <w:szCs w:val="32"/>
        </w:rPr>
        <w:t>2025年因机构改革原因，原自治区林业生态总站合并至本单位，自治区林业生态总站在职人员养老保险缴费单独科目列支，导致经费较上年增加</w:t>
      </w:r>
      <w:r>
        <w:rPr>
          <w:rFonts w:ascii="仿宋_GB2312" w:eastAsia="仿宋_GB2312"/>
          <w:b w:val="0"/>
          <w:sz w:val="32"/>
          <w:szCs w:val="32"/>
        </w:rPr>
        <w:t>。</w:t>
      </w:r>
    </w:p>
    <w:p w14:paraId="72355F3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8</w:t>
      </w:r>
      <w:r>
        <w:rPr>
          <w:rFonts w:hint="eastAsia" w:ascii="仿宋_GB2312" w:eastAsia="仿宋_GB2312"/>
          <w:b w:val="0"/>
          <w:sz w:val="32"/>
          <w:szCs w:val="32"/>
          <w:lang w:eastAsia="zh-CN"/>
        </w:rPr>
        <w:t>.</w:t>
      </w:r>
      <w:r>
        <w:rPr>
          <w:rFonts w:ascii="仿宋_GB2312" w:eastAsia="仿宋_GB2312"/>
          <w:b w:val="0"/>
          <w:sz w:val="32"/>
          <w:szCs w:val="32"/>
        </w:rPr>
        <w:t>卫生健康支出（类）行政事业单位医疗（款）事业单位医疗（项）：支出决算数为10.11万元，比上年决算增加10.11万元，增长100.00%，主要原因是：</w:t>
      </w:r>
      <w:r>
        <w:rPr>
          <w:rFonts w:hint="eastAsia" w:ascii="仿宋_GB2312" w:eastAsia="仿宋_GB2312"/>
          <w:b w:val="0"/>
          <w:sz w:val="32"/>
          <w:szCs w:val="32"/>
        </w:rPr>
        <w:t>2025年因机构改革原因，原自治区林业生态总站合并至本单位，自治区林业生态总站在职人员医疗保险缴费单独科目列支，导致经费较上年增加</w:t>
      </w:r>
      <w:r>
        <w:rPr>
          <w:rFonts w:ascii="仿宋_GB2312" w:eastAsia="仿宋_GB2312"/>
          <w:b w:val="0"/>
          <w:sz w:val="32"/>
          <w:szCs w:val="32"/>
        </w:rPr>
        <w:t>。</w:t>
      </w:r>
    </w:p>
    <w:p w14:paraId="69AC3F1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9</w:t>
      </w:r>
      <w:r>
        <w:rPr>
          <w:rFonts w:hint="eastAsia" w:ascii="仿宋_GB2312" w:eastAsia="仿宋_GB2312"/>
          <w:b w:val="0"/>
          <w:sz w:val="32"/>
          <w:szCs w:val="32"/>
          <w:lang w:eastAsia="zh-CN"/>
        </w:rPr>
        <w:t>.</w:t>
      </w:r>
      <w:r>
        <w:rPr>
          <w:rFonts w:ascii="仿宋_GB2312" w:eastAsia="仿宋_GB2312"/>
          <w:b w:val="0"/>
          <w:sz w:val="32"/>
          <w:szCs w:val="32"/>
        </w:rPr>
        <w:t>卫生健康支出（类）行政事业单位医疗（款）公务员医疗补助（项）：支出决算数为7.61万元，比上年决算增加7.61万元，增长100.00%，主要原因是：</w:t>
      </w:r>
      <w:r>
        <w:rPr>
          <w:rFonts w:hint="eastAsia" w:ascii="仿宋_GB2312" w:eastAsia="仿宋_GB2312"/>
          <w:b w:val="0"/>
          <w:sz w:val="32"/>
          <w:szCs w:val="32"/>
        </w:rPr>
        <w:t>2025年因机构改革原因，原自治区林业生态总站合并至本单位，自治区林业生态总站在职人员公务员医疗补助单独科目列支，导致经费较上年增加</w:t>
      </w:r>
      <w:r>
        <w:rPr>
          <w:rFonts w:ascii="仿宋_GB2312" w:eastAsia="仿宋_GB2312"/>
          <w:b w:val="0"/>
          <w:sz w:val="32"/>
          <w:szCs w:val="32"/>
        </w:rPr>
        <w:t>。</w:t>
      </w:r>
    </w:p>
    <w:p w14:paraId="7387C09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10</w:t>
      </w:r>
      <w:r>
        <w:rPr>
          <w:rFonts w:hint="eastAsia" w:ascii="仿宋_GB2312" w:eastAsia="仿宋_GB2312"/>
          <w:b w:val="0"/>
          <w:sz w:val="32"/>
          <w:szCs w:val="32"/>
          <w:lang w:eastAsia="zh-CN"/>
        </w:rPr>
        <w:t>.</w:t>
      </w:r>
      <w:r>
        <w:rPr>
          <w:rFonts w:ascii="仿宋_GB2312" w:eastAsia="仿宋_GB2312"/>
          <w:b w:val="0"/>
          <w:sz w:val="32"/>
          <w:szCs w:val="32"/>
        </w:rPr>
        <w:t>节能环保支出（类）自然生态保护（款）生物及物种资源保护（项）：支出决算数为128.00万元，比上年决算减少32.04万元，下降20.02%，主要原因是：本年度中央财政林业草原生态保护恢复资金-国家</w:t>
      </w:r>
      <w:r>
        <w:rPr>
          <w:rFonts w:hint="eastAsia" w:ascii="仿宋_GB2312" w:eastAsia="仿宋_GB2312"/>
          <w:b w:val="0"/>
          <w:sz w:val="32"/>
          <w:szCs w:val="32"/>
          <w:lang w:eastAsia="zh-CN"/>
        </w:rPr>
        <w:t>重点保护野生动植物</w:t>
      </w:r>
      <w:r>
        <w:rPr>
          <w:rFonts w:ascii="仿宋_GB2312" w:eastAsia="仿宋_GB2312"/>
          <w:b w:val="0"/>
          <w:sz w:val="32"/>
          <w:szCs w:val="32"/>
        </w:rPr>
        <w:t>保护项目经费较上年减少，造成该项支出决算数较上年有所减少。</w:t>
      </w:r>
    </w:p>
    <w:p w14:paraId="4F6CA55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11</w:t>
      </w:r>
      <w:r>
        <w:rPr>
          <w:rFonts w:hint="eastAsia" w:ascii="仿宋_GB2312" w:eastAsia="仿宋_GB2312"/>
          <w:b w:val="0"/>
          <w:sz w:val="32"/>
          <w:szCs w:val="32"/>
          <w:lang w:eastAsia="zh-CN"/>
        </w:rPr>
        <w:t>.</w:t>
      </w:r>
      <w:r>
        <w:rPr>
          <w:rFonts w:ascii="仿宋_GB2312" w:eastAsia="仿宋_GB2312"/>
          <w:b w:val="0"/>
          <w:sz w:val="32"/>
          <w:szCs w:val="32"/>
        </w:rPr>
        <w:t>节能环保支出（类）自然生态保护（款）自然保护地（项）：支出决算数为0.00万元，比上年决算减少12.84万元，下降100.00%，主要原因是：本年度未安排中央财政林业草原生态保护恢复资金-自然保护地项目经费，造成该项支出决算数较上年减少。</w:t>
      </w:r>
    </w:p>
    <w:p w14:paraId="5D79597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12</w:t>
      </w:r>
      <w:r>
        <w:rPr>
          <w:rFonts w:hint="eastAsia" w:ascii="仿宋_GB2312" w:eastAsia="仿宋_GB2312"/>
          <w:b w:val="0"/>
          <w:sz w:val="32"/>
          <w:szCs w:val="32"/>
          <w:lang w:eastAsia="zh-CN"/>
        </w:rPr>
        <w:t>.</w:t>
      </w:r>
      <w:r>
        <w:rPr>
          <w:rFonts w:ascii="仿宋_GB2312" w:eastAsia="仿宋_GB2312"/>
          <w:b w:val="0"/>
          <w:sz w:val="32"/>
          <w:szCs w:val="32"/>
        </w:rPr>
        <w:t>农林水支出（类）农业农村（款）科技转化与推广服务（项）：支出决算数为44.80万元，比上年决算减少143.20万元，下降76.17%，主要原因是：本年度“三农骨干”项目经费较上年减少，造成该项支出决算数较上年有所减少。</w:t>
      </w:r>
    </w:p>
    <w:p w14:paraId="59E9F9F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13</w:t>
      </w:r>
      <w:r>
        <w:rPr>
          <w:rFonts w:hint="eastAsia" w:ascii="仿宋_GB2312" w:eastAsia="仿宋_GB2312"/>
          <w:b w:val="0"/>
          <w:sz w:val="32"/>
          <w:szCs w:val="32"/>
          <w:lang w:eastAsia="zh-CN"/>
        </w:rPr>
        <w:t>.</w:t>
      </w:r>
      <w:r>
        <w:rPr>
          <w:rFonts w:ascii="仿宋_GB2312" w:eastAsia="仿宋_GB2312"/>
          <w:b w:val="0"/>
          <w:sz w:val="32"/>
          <w:szCs w:val="32"/>
        </w:rPr>
        <w:t>农林水支出（类）林业和草原（款）事业机构（项）：支出决算数为133.21万元，比上年决算增加133.21万元，增长100.00%，主要原因是：</w:t>
      </w:r>
      <w:r>
        <w:rPr>
          <w:rFonts w:hint="eastAsia" w:ascii="仿宋_GB2312" w:eastAsia="仿宋_GB2312"/>
          <w:b w:val="0"/>
          <w:sz w:val="32"/>
          <w:szCs w:val="32"/>
        </w:rPr>
        <w:t>2025年因机构改革原因，原自治区林业生态总站合并至本单位，自治区林业生态总站在职人员工资，奖金，绩效工资等人员经费单独科目列支，导致经费较上年</w:t>
      </w:r>
      <w:r>
        <w:rPr>
          <w:rFonts w:hint="eastAsia" w:ascii="仿宋_GB2312" w:eastAsia="仿宋_GB2312"/>
          <w:b w:val="0"/>
          <w:sz w:val="32"/>
          <w:szCs w:val="32"/>
          <w:lang w:eastAsia="zh-CN"/>
        </w:rPr>
        <w:t>增加</w:t>
      </w:r>
      <w:r>
        <w:rPr>
          <w:rFonts w:ascii="仿宋_GB2312" w:eastAsia="仿宋_GB2312"/>
          <w:b w:val="0"/>
          <w:sz w:val="32"/>
          <w:szCs w:val="32"/>
        </w:rPr>
        <w:t>。</w:t>
      </w:r>
    </w:p>
    <w:p w14:paraId="52454C2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14</w:t>
      </w:r>
      <w:r>
        <w:rPr>
          <w:rFonts w:hint="eastAsia" w:ascii="仿宋_GB2312" w:eastAsia="仿宋_GB2312"/>
          <w:b w:val="0"/>
          <w:sz w:val="32"/>
          <w:szCs w:val="32"/>
          <w:lang w:eastAsia="zh-CN"/>
        </w:rPr>
        <w:t>.</w:t>
      </w:r>
      <w:r>
        <w:rPr>
          <w:rFonts w:ascii="仿宋_GB2312" w:eastAsia="仿宋_GB2312"/>
          <w:b w:val="0"/>
          <w:sz w:val="32"/>
          <w:szCs w:val="32"/>
        </w:rPr>
        <w:t>农林水支出（类）林业和草原（款）森林资源培育（项）：支出决算数为408.00万元，比上年决算增加348.00万元，增长580.00%，主要原因是：本年度佳木试验站良种培育项目经费较上年增加，造成该项支出决算数较上年增加。</w:t>
      </w:r>
    </w:p>
    <w:p w14:paraId="06BA7249">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15</w:t>
      </w:r>
      <w:r>
        <w:rPr>
          <w:rFonts w:hint="eastAsia" w:ascii="仿宋_GB2312" w:eastAsia="仿宋_GB2312"/>
          <w:b w:val="0"/>
          <w:sz w:val="32"/>
          <w:szCs w:val="32"/>
          <w:lang w:eastAsia="zh-CN"/>
        </w:rPr>
        <w:t>.</w:t>
      </w:r>
      <w:r>
        <w:rPr>
          <w:rFonts w:ascii="仿宋_GB2312" w:eastAsia="仿宋_GB2312"/>
          <w:b w:val="0"/>
          <w:sz w:val="32"/>
          <w:szCs w:val="32"/>
        </w:rPr>
        <w:t>农林水支出（类）林业和草原（款）技术推广与转化（项）：支出决算数为1,568.00万元，比上年决算增加557.32万元，增长55.14%，主要原因是：本年度新增</w:t>
      </w:r>
      <w:r>
        <w:rPr>
          <w:rFonts w:hint="eastAsia" w:ascii="仿宋_GB2312" w:eastAsia="仿宋_GB2312"/>
          <w:b w:val="0"/>
          <w:sz w:val="32"/>
          <w:szCs w:val="32"/>
        </w:rPr>
        <w:t>旱区木本油料树种提质增效技术示范与推广</w:t>
      </w:r>
      <w:r>
        <w:rPr>
          <w:rFonts w:hint="eastAsia" w:ascii="仿宋_GB2312" w:eastAsia="仿宋_GB2312"/>
          <w:b w:val="0"/>
          <w:sz w:val="32"/>
          <w:szCs w:val="32"/>
          <w:lang w:eastAsia="zh-CN"/>
        </w:rPr>
        <w:t>、杏李抗寒品种高效栽培技术推广与示范、荒漠绿洲区防护林资源高效利用技术推广与示范</w:t>
      </w:r>
      <w:r>
        <w:rPr>
          <w:rFonts w:hint="eastAsia" w:ascii="仿宋_GB2312" w:eastAsia="仿宋_GB2312"/>
          <w:b w:val="0"/>
          <w:sz w:val="32"/>
          <w:szCs w:val="32"/>
          <w:lang w:val="en-US" w:eastAsia="zh-CN"/>
        </w:rPr>
        <w:t>等</w:t>
      </w:r>
      <w:r>
        <w:rPr>
          <w:rFonts w:ascii="仿宋_GB2312" w:eastAsia="仿宋_GB2312"/>
          <w:b w:val="0"/>
          <w:sz w:val="32"/>
          <w:szCs w:val="32"/>
        </w:rPr>
        <w:t>项目，相应经费增加，造成该项支出决算数较上年增加。</w:t>
      </w:r>
    </w:p>
    <w:p w14:paraId="174C6DE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16</w:t>
      </w:r>
      <w:r>
        <w:rPr>
          <w:rFonts w:hint="eastAsia" w:ascii="仿宋_GB2312" w:eastAsia="仿宋_GB2312"/>
          <w:b w:val="0"/>
          <w:sz w:val="32"/>
          <w:szCs w:val="32"/>
          <w:lang w:eastAsia="zh-CN"/>
        </w:rPr>
        <w:t>.</w:t>
      </w:r>
      <w:r>
        <w:rPr>
          <w:rFonts w:ascii="仿宋_GB2312" w:eastAsia="仿宋_GB2312"/>
          <w:b w:val="0"/>
          <w:sz w:val="32"/>
          <w:szCs w:val="32"/>
        </w:rPr>
        <w:t>农林水支出（类）林业和草原（款）执法与监督（项）：支出决算数为16.75万元，比上年决算减少1,684.25万元，下降99.02%，主要原因是：新疆林木资源与利用国家林业和草原局重点实验室平台建设项目已于上年完成，本年度未安排相关资金，造成该项支出决算数较上年减少。</w:t>
      </w:r>
    </w:p>
    <w:p w14:paraId="2A1F6B4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17</w:t>
      </w:r>
      <w:r>
        <w:rPr>
          <w:rFonts w:hint="eastAsia" w:ascii="仿宋_GB2312" w:eastAsia="仿宋_GB2312"/>
          <w:b w:val="0"/>
          <w:sz w:val="32"/>
          <w:szCs w:val="32"/>
          <w:lang w:eastAsia="zh-CN"/>
        </w:rPr>
        <w:t>.</w:t>
      </w:r>
      <w:r>
        <w:rPr>
          <w:rFonts w:ascii="仿宋_GB2312" w:eastAsia="仿宋_GB2312"/>
          <w:b w:val="0"/>
          <w:sz w:val="32"/>
          <w:szCs w:val="32"/>
        </w:rPr>
        <w:t>农林水支出（类）林业和草原（款）产业化管理（项）：支出决算数为416.99万元，比上年决算增加416.99万元，增长100.00%，主要原因是：本年度新增新疆葡萄酒主要产品质量安全评价技术及应用、自治区林果专家服务团等项目，相应经费增加，造成该项支出决算</w:t>
      </w:r>
      <w:r>
        <w:rPr>
          <w:rFonts w:hint="eastAsia" w:ascii="仿宋_GB2312" w:eastAsia="仿宋_GB2312"/>
          <w:b w:val="0"/>
          <w:sz w:val="32"/>
          <w:szCs w:val="32"/>
          <w:lang w:eastAsia="zh-CN"/>
        </w:rPr>
        <w:t>数较</w:t>
      </w:r>
      <w:r>
        <w:rPr>
          <w:rFonts w:ascii="仿宋_GB2312" w:eastAsia="仿宋_GB2312"/>
          <w:b w:val="0"/>
          <w:sz w:val="32"/>
          <w:szCs w:val="32"/>
        </w:rPr>
        <w:t>上年增长。</w:t>
      </w:r>
    </w:p>
    <w:p w14:paraId="1491E79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18</w:t>
      </w:r>
      <w:r>
        <w:rPr>
          <w:rFonts w:hint="eastAsia" w:ascii="仿宋_GB2312" w:eastAsia="仿宋_GB2312"/>
          <w:b w:val="0"/>
          <w:sz w:val="32"/>
          <w:szCs w:val="32"/>
          <w:lang w:eastAsia="zh-CN"/>
        </w:rPr>
        <w:t>.</w:t>
      </w:r>
      <w:r>
        <w:rPr>
          <w:rFonts w:ascii="仿宋_GB2312" w:eastAsia="仿宋_GB2312"/>
          <w:b w:val="0"/>
          <w:sz w:val="32"/>
          <w:szCs w:val="32"/>
        </w:rPr>
        <w:t>农林水支出（类）林业和草原（款）林业草原防灾减灾（项）：支出决算数为33.00万元，比上年决算增加33.00万元，增长100.00%，主要原因是：本年度新增自治区林草专项-林业发展补助资金-林业有害生物防治项目，相应经费增加，造成该项支出决算</w:t>
      </w:r>
      <w:r>
        <w:rPr>
          <w:rFonts w:hint="eastAsia" w:ascii="仿宋_GB2312" w:eastAsia="仿宋_GB2312"/>
          <w:b w:val="0"/>
          <w:sz w:val="32"/>
          <w:szCs w:val="32"/>
          <w:lang w:eastAsia="zh-CN"/>
        </w:rPr>
        <w:t>数较</w:t>
      </w:r>
      <w:r>
        <w:rPr>
          <w:rFonts w:ascii="仿宋_GB2312" w:eastAsia="仿宋_GB2312"/>
          <w:b w:val="0"/>
          <w:sz w:val="32"/>
          <w:szCs w:val="32"/>
        </w:rPr>
        <w:t>上年增长。</w:t>
      </w:r>
    </w:p>
    <w:p w14:paraId="35993C2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19</w:t>
      </w:r>
      <w:r>
        <w:rPr>
          <w:rFonts w:hint="eastAsia" w:ascii="仿宋_GB2312" w:eastAsia="仿宋_GB2312"/>
          <w:b w:val="0"/>
          <w:sz w:val="32"/>
          <w:szCs w:val="32"/>
          <w:lang w:eastAsia="zh-CN"/>
        </w:rPr>
        <w:t>.</w:t>
      </w:r>
      <w:r>
        <w:rPr>
          <w:rFonts w:ascii="仿宋_GB2312" w:eastAsia="仿宋_GB2312"/>
          <w:b w:val="0"/>
          <w:sz w:val="32"/>
          <w:szCs w:val="32"/>
        </w:rPr>
        <w:t>农林水支出（类）林业和草原（款）行业业务管理（项）：支出决算数为208.00万元，比上年决算增加208.00万元，增长100.00%，主要原因是：本年度新增</w:t>
      </w:r>
      <w:r>
        <w:rPr>
          <w:rFonts w:hint="eastAsia" w:ascii="仿宋_GB2312" w:eastAsia="仿宋_GB2312"/>
          <w:b w:val="0"/>
          <w:sz w:val="32"/>
          <w:szCs w:val="32"/>
        </w:rPr>
        <w:t>2025年新疆退耕还林工程典型区域碳库监测与评价</w:t>
      </w:r>
      <w:r>
        <w:rPr>
          <w:rFonts w:hint="eastAsia" w:ascii="仿宋_GB2312" w:eastAsia="仿宋_GB2312"/>
          <w:b w:val="0"/>
          <w:sz w:val="32"/>
          <w:szCs w:val="32"/>
          <w:lang w:eastAsia="zh-CN"/>
        </w:rPr>
        <w:t>、乌鲁木齐城市生物多样性及绿地景观格局现状调查与评价、林草种质资源库野外采种</w:t>
      </w:r>
      <w:r>
        <w:rPr>
          <w:rFonts w:hint="eastAsia" w:ascii="仿宋_GB2312" w:eastAsia="仿宋_GB2312"/>
          <w:b w:val="0"/>
          <w:sz w:val="32"/>
          <w:szCs w:val="32"/>
          <w:lang w:val="en-US" w:eastAsia="zh-CN"/>
        </w:rPr>
        <w:t>等项目</w:t>
      </w:r>
      <w:r>
        <w:rPr>
          <w:rFonts w:ascii="仿宋_GB2312" w:eastAsia="仿宋_GB2312"/>
          <w:b w:val="0"/>
          <w:sz w:val="32"/>
          <w:szCs w:val="32"/>
        </w:rPr>
        <w:t>，相应经费增加，造成该项支出决算</w:t>
      </w:r>
      <w:r>
        <w:rPr>
          <w:rFonts w:hint="eastAsia" w:ascii="仿宋_GB2312" w:eastAsia="仿宋_GB2312"/>
          <w:b w:val="0"/>
          <w:sz w:val="32"/>
          <w:szCs w:val="32"/>
          <w:lang w:eastAsia="zh-CN"/>
        </w:rPr>
        <w:t>数较</w:t>
      </w:r>
      <w:r>
        <w:rPr>
          <w:rFonts w:ascii="仿宋_GB2312" w:eastAsia="仿宋_GB2312"/>
          <w:b w:val="0"/>
          <w:sz w:val="32"/>
          <w:szCs w:val="32"/>
        </w:rPr>
        <w:t>上年增长。</w:t>
      </w:r>
    </w:p>
    <w:p w14:paraId="441FAAE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w:t>
      </w:r>
      <w:r>
        <w:rPr>
          <w:rFonts w:hint="eastAsia" w:ascii="仿宋_GB2312" w:eastAsia="仿宋_GB2312"/>
          <w:b w:val="0"/>
          <w:sz w:val="32"/>
          <w:szCs w:val="32"/>
          <w:lang w:eastAsia="zh-CN"/>
        </w:rPr>
        <w:t>.</w:t>
      </w:r>
      <w:r>
        <w:rPr>
          <w:rFonts w:ascii="仿宋_GB2312" w:eastAsia="仿宋_GB2312"/>
          <w:b w:val="0"/>
          <w:sz w:val="32"/>
          <w:szCs w:val="32"/>
        </w:rPr>
        <w:t>农林水支出（类）林业和草原（款）其他林业和草原支出（项）：支出决算数为0.00万元，比上年决算减少1,378.00万元，下降100.00%，主要原因是：</w:t>
      </w:r>
      <w:r>
        <w:rPr>
          <w:rFonts w:hint="eastAsia" w:ascii="仿宋_GB2312" w:eastAsia="仿宋_GB2312"/>
          <w:b w:val="0"/>
          <w:sz w:val="32"/>
          <w:szCs w:val="32"/>
        </w:rPr>
        <w:t>杏李裂果发生机制及预防措施研究</w:t>
      </w:r>
      <w:r>
        <w:rPr>
          <w:rFonts w:hint="eastAsia" w:ascii="仿宋_GB2312" w:eastAsia="仿宋_GB2312"/>
          <w:b w:val="0"/>
          <w:sz w:val="32"/>
          <w:szCs w:val="32"/>
          <w:lang w:eastAsia="zh-CN"/>
        </w:rPr>
        <w:t>、天山北坡大果榛子良种标准化栽培技术推广与示范、文冠果丰产造林和低产林高接换优技术推广示范</w:t>
      </w:r>
      <w:r>
        <w:rPr>
          <w:rFonts w:hint="eastAsia" w:ascii="仿宋_GB2312" w:eastAsia="仿宋_GB2312"/>
          <w:b w:val="0"/>
          <w:sz w:val="32"/>
          <w:szCs w:val="32"/>
          <w:lang w:val="en-US" w:eastAsia="zh-CN"/>
        </w:rPr>
        <w:t>等</w:t>
      </w:r>
      <w:r>
        <w:rPr>
          <w:rFonts w:ascii="仿宋_GB2312" w:eastAsia="仿宋_GB2312"/>
          <w:b w:val="0"/>
          <w:sz w:val="32"/>
          <w:szCs w:val="32"/>
        </w:rPr>
        <w:t>项目已于上年完成，本年度未安排相关资金，造成该项支出决算数较上年减少。</w:t>
      </w:r>
    </w:p>
    <w:p w14:paraId="6CA1192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21</w:t>
      </w:r>
      <w:r>
        <w:rPr>
          <w:rFonts w:hint="eastAsia" w:ascii="仿宋_GB2312" w:eastAsia="仿宋_GB2312"/>
          <w:b w:val="0"/>
          <w:sz w:val="32"/>
          <w:szCs w:val="32"/>
          <w:lang w:eastAsia="zh-CN"/>
        </w:rPr>
        <w:t>.</w:t>
      </w:r>
      <w:r>
        <w:rPr>
          <w:rFonts w:ascii="仿宋_GB2312" w:eastAsia="仿宋_GB2312"/>
          <w:b w:val="0"/>
          <w:sz w:val="32"/>
          <w:szCs w:val="32"/>
        </w:rPr>
        <w:t>住房保障支出（类）住房改革支出（款）住房公积金（项）：支出决算数为12.26万元，比上年决算增加12.26万元，增长100.00%，主要原因是：</w:t>
      </w:r>
      <w:r>
        <w:rPr>
          <w:rFonts w:hint="eastAsia" w:ascii="仿宋_GB2312" w:eastAsia="仿宋_GB2312"/>
          <w:b w:val="0"/>
          <w:sz w:val="32"/>
          <w:szCs w:val="32"/>
        </w:rPr>
        <w:t>2025年因机构改革原因，原自治区林业生态总站合并至本单位，自治区林业生态总站在职人员住房公积金单独科目列支，导致经费较上年增加</w:t>
      </w:r>
      <w:r>
        <w:rPr>
          <w:rFonts w:ascii="仿宋_GB2312" w:eastAsia="仿宋_GB2312"/>
          <w:b w:val="0"/>
          <w:sz w:val="32"/>
          <w:szCs w:val="32"/>
        </w:rPr>
        <w:t>。</w:t>
      </w:r>
    </w:p>
    <w:p w14:paraId="509E962D">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14:paraId="029A0E6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基本支出5,585.92万元，其中：人员经费5,116.42万元，包括：基本工资、津贴补贴、奖金、绩效工资、机关事业单位基本养老保险缴费、职业年金缴费、职工基本医疗保险缴费、公务员医疗补助缴费、其他社会保障缴费、住房公积金、离休费、退休费、抚恤金、生活补助和其他对个人和家庭的补助。</w:t>
      </w:r>
    </w:p>
    <w:p w14:paraId="0C077C0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469.50万元，包括：办公费、印刷费、手续费、水费、电费、邮电费、取暖费、物业管理费、差旅费、维修（护）费、专用材料费、劳务费、委托业务费、工会经费、福利费、公务用车运行维护费、其他交通费用、税金及附加费用、其他商品和服务支出和办公设备购置。</w:t>
      </w:r>
    </w:p>
    <w:p w14:paraId="1441635C">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14:paraId="4317C93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本部门本年度无政府性基金预算财政拨款收入、支出及结转和结余，政府性基金预算财政拨款收入支出决算表为空表。</w:t>
      </w:r>
    </w:p>
    <w:p w14:paraId="4E040D32">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14:paraId="7BBF5C9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本部门本年度无国有资本经营预算财政拨款收入、支出及结转和结余，国有资本经营预算财政拨款收入支出决算表为空表。</w:t>
      </w:r>
    </w:p>
    <w:p w14:paraId="3F7F587B">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14:paraId="75FE8BB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2025年度财政拨款“三公”经费支出7.34万元，比上年增加0.29万元，增长4.11%，主要原因是：我</w:t>
      </w:r>
      <w:r>
        <w:rPr>
          <w:rFonts w:hint="eastAsia" w:ascii="仿宋_GB2312" w:eastAsia="仿宋_GB2312"/>
          <w:b w:val="0"/>
          <w:sz w:val="32"/>
          <w:szCs w:val="32"/>
          <w:lang w:val="en-US" w:eastAsia="zh-CN"/>
        </w:rPr>
        <w:t>部门</w:t>
      </w:r>
      <w:r>
        <w:rPr>
          <w:rFonts w:ascii="仿宋_GB2312" w:eastAsia="仿宋_GB2312"/>
          <w:b w:val="0"/>
          <w:sz w:val="32"/>
          <w:szCs w:val="32"/>
        </w:rPr>
        <w:t>公务用车因使用年限较长，突发维修费用，导致“三公”经费与上年相比有所增加。其中：因公出国（境）费用支出0.00万元,占0.00%，与上年相比无变化，主要原因是：我</w:t>
      </w:r>
      <w:r>
        <w:rPr>
          <w:rFonts w:hint="eastAsia" w:ascii="仿宋_GB2312" w:eastAsia="仿宋_GB2312"/>
          <w:b w:val="0"/>
          <w:sz w:val="32"/>
          <w:szCs w:val="32"/>
          <w:lang w:val="en-US" w:eastAsia="zh-CN"/>
        </w:rPr>
        <w:t>部门</w:t>
      </w:r>
      <w:r>
        <w:rPr>
          <w:rFonts w:ascii="仿宋_GB2312" w:eastAsia="仿宋_GB2312"/>
          <w:b w:val="0"/>
          <w:sz w:val="32"/>
          <w:szCs w:val="32"/>
        </w:rPr>
        <w:t>2024年度与2025年度均未安排因公出国（境）费用；公务用车购置及运行维护费支出7.34万元，占100.00%，比上年增加0.34万元，增长4.86%，主要原因是：我</w:t>
      </w:r>
      <w:r>
        <w:rPr>
          <w:rFonts w:hint="eastAsia" w:ascii="仿宋_GB2312" w:eastAsia="仿宋_GB2312"/>
          <w:b w:val="0"/>
          <w:sz w:val="32"/>
          <w:szCs w:val="32"/>
          <w:lang w:val="en-US" w:eastAsia="zh-CN"/>
        </w:rPr>
        <w:t>部门</w:t>
      </w:r>
      <w:r>
        <w:rPr>
          <w:rFonts w:ascii="仿宋_GB2312" w:eastAsia="仿宋_GB2312"/>
          <w:b w:val="0"/>
          <w:sz w:val="32"/>
          <w:szCs w:val="32"/>
        </w:rPr>
        <w:t>公务用车因使用年限较长，突发维修费用，导致公务用车购置及运行维护费支出与上年相比有所增加；公务接待费支出0.00万元，占0.00%，比上年减少0.05万元，下降100%，主要原因是：我</w:t>
      </w:r>
      <w:r>
        <w:rPr>
          <w:rFonts w:hint="eastAsia" w:ascii="仿宋_GB2312" w:eastAsia="仿宋_GB2312"/>
          <w:b w:val="0"/>
          <w:sz w:val="32"/>
          <w:szCs w:val="32"/>
          <w:lang w:val="en-US" w:eastAsia="zh-CN"/>
        </w:rPr>
        <w:t>部门</w:t>
      </w:r>
      <w:r>
        <w:rPr>
          <w:rFonts w:ascii="仿宋_GB2312" w:eastAsia="仿宋_GB2312"/>
          <w:b w:val="0"/>
          <w:sz w:val="32"/>
          <w:szCs w:val="32"/>
        </w:rPr>
        <w:t>严格贯彻落实中央八项规定及其实施细则精神，严守公务接待管理制度，本年未安排公务接待工作，导致公务接待费较上年减少。</w:t>
      </w:r>
    </w:p>
    <w:p w14:paraId="07F16BF2">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14:paraId="7A02EC39">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因公出国（境）费用0.00万元，开支内容包括我</w:t>
      </w:r>
      <w:r>
        <w:rPr>
          <w:rFonts w:hint="eastAsia" w:ascii="仿宋_GB2312" w:eastAsia="仿宋_GB2312"/>
          <w:b w:val="0"/>
          <w:sz w:val="32"/>
          <w:szCs w:val="32"/>
          <w:lang w:val="en-US" w:eastAsia="zh-CN"/>
        </w:rPr>
        <w:t>部门</w:t>
      </w:r>
      <w:r>
        <w:rPr>
          <w:rFonts w:ascii="仿宋_GB2312" w:eastAsia="仿宋_GB2312"/>
          <w:b w:val="0"/>
          <w:sz w:val="32"/>
          <w:szCs w:val="32"/>
        </w:rPr>
        <w:t>2025年度未安排因公出国（境）费用。部门全年安排的因公出国（境）团组0个，因公出国（境）0人次。</w:t>
      </w:r>
    </w:p>
    <w:p w14:paraId="03395A8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7.34万元，其中：公务用车购置费0.00万元，公务用车运行维护费7.34万元。公务用车运行维护费开支内容包括车辆燃油费、车辆保险费、车辆维修费。公务用车购置数0辆，公务用车保有量10辆。国有资产占用情况中固定资产车辆12辆，与公务用车保有量差异原因是：新疆林科院经济林研究所和新疆林科院园林绿化研究所资产系统上各有一辆车，实际由新疆维吾尔自治区林业科学院统一管理，两个单位决算中车辆保有量为零，车辆费用未使用财政拨款公务用车运行维护费支付，由新疆维吾尔自治区林业科学院事业收入保障。</w:t>
      </w:r>
    </w:p>
    <w:p w14:paraId="46A62E1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公务接待费0.00万元，开支内容包括我</w:t>
      </w:r>
      <w:r>
        <w:rPr>
          <w:rFonts w:hint="eastAsia" w:ascii="仿宋_GB2312" w:eastAsia="仿宋_GB2312"/>
          <w:b w:val="0"/>
          <w:sz w:val="32"/>
          <w:szCs w:val="32"/>
          <w:lang w:val="en-US" w:eastAsia="zh-CN"/>
        </w:rPr>
        <w:t>部门</w:t>
      </w:r>
      <w:r>
        <w:rPr>
          <w:rFonts w:ascii="仿宋_GB2312" w:eastAsia="仿宋_GB2312"/>
          <w:b w:val="0"/>
          <w:sz w:val="32"/>
          <w:szCs w:val="32"/>
        </w:rPr>
        <w:t>2025年度未安排公务接待费。部门全年安排的国内公务接待0批次，0人次。</w:t>
      </w:r>
    </w:p>
    <w:p w14:paraId="516D002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9.17万元，决算数7.34万元，预决算差异率-19.96%，主要原因是：本年度严格落实厉行节约要求，规范公务用车使用管理，优化用车调度机制，非必要公务出行大幅压缩，实际车辆燃油费支出低于年初预算数，形成预决算差异。其中：因公出国（境）费用全年预算数0.00万元，决算数0.00万元，预决算差异率0.00%，主要原因是：</w:t>
      </w:r>
      <w:r>
        <w:rPr>
          <w:rFonts w:hint="eastAsia" w:ascii="仿宋_GB2312" w:eastAsia="仿宋_GB2312"/>
          <w:b w:val="0"/>
          <w:sz w:val="32"/>
          <w:szCs w:val="32"/>
          <w:lang w:val="en-US" w:eastAsia="zh-CN"/>
        </w:rPr>
        <w:t>本部门无</w:t>
      </w:r>
      <w:r>
        <w:rPr>
          <w:rFonts w:ascii="仿宋_GB2312" w:eastAsia="仿宋_GB2312"/>
          <w:b w:val="0"/>
          <w:sz w:val="32"/>
          <w:szCs w:val="32"/>
        </w:rPr>
        <w:t>因公出国（境）费用；公务用车购置费全年预算数0.00万元，决算数0.00万元，预决算差异率0.00%，主要原因是：</w:t>
      </w:r>
      <w:r>
        <w:rPr>
          <w:rFonts w:hint="eastAsia" w:ascii="仿宋_GB2312" w:eastAsia="仿宋_GB2312"/>
          <w:b w:val="0"/>
          <w:sz w:val="32"/>
          <w:szCs w:val="32"/>
          <w:lang w:val="en-US" w:eastAsia="zh-CN"/>
        </w:rPr>
        <w:t>本部门无</w:t>
      </w:r>
      <w:r>
        <w:rPr>
          <w:rFonts w:ascii="仿宋_GB2312" w:eastAsia="仿宋_GB2312"/>
          <w:b w:val="0"/>
          <w:sz w:val="32"/>
          <w:szCs w:val="32"/>
        </w:rPr>
        <w:t>公务用车购置费；公务用车运行维护费全年预算数9.17万元，决算数7.34万元，预决算差异率-19.96%，主要原因是：本年度严格落实厉行节约要求，规范公务用车使用管理，优化用车调度机制，非必要公务出行大幅压缩，实际车辆燃油费支出低于年初预算数，形成预决算差异；公务接待费全年预算数0.00万元，决算数0.00万元，预决算差异率0.00%，主要原因是：</w:t>
      </w:r>
      <w:r>
        <w:rPr>
          <w:rFonts w:hint="eastAsia" w:ascii="仿宋_GB2312" w:eastAsia="仿宋_GB2312"/>
          <w:b w:val="0"/>
          <w:sz w:val="32"/>
          <w:szCs w:val="32"/>
          <w:lang w:val="en-US" w:eastAsia="zh-CN"/>
        </w:rPr>
        <w:t>本部门无</w:t>
      </w:r>
      <w:r>
        <w:rPr>
          <w:rFonts w:ascii="仿宋_GB2312" w:eastAsia="仿宋_GB2312"/>
          <w:b w:val="0"/>
          <w:sz w:val="32"/>
          <w:szCs w:val="32"/>
        </w:rPr>
        <w:t>公务接待费。</w:t>
      </w:r>
    </w:p>
    <w:p w14:paraId="12CE54A4">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14:paraId="6B249D71">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（一）机关运行经费及公用经费支出情况</w:t>
      </w:r>
    </w:p>
    <w:p w14:paraId="1D891ED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2025年度新疆维吾尔自治区林业科学院（事业单位）公用经费支出469.50万元，比上年增加24.52万元，增长5.51%，主要原因是：2025年因机构改革，原林业生态总站并入</w:t>
      </w:r>
      <w:r>
        <w:rPr>
          <w:rFonts w:hint="eastAsia" w:ascii="仿宋_GB2312" w:eastAsia="仿宋_GB2312"/>
          <w:b w:val="0"/>
          <w:sz w:val="32"/>
          <w:szCs w:val="32"/>
          <w:lang w:eastAsia="zh-CN"/>
        </w:rPr>
        <w:t>本单位</w:t>
      </w:r>
      <w:r>
        <w:rPr>
          <w:rFonts w:ascii="仿宋_GB2312" w:eastAsia="仿宋_GB2312"/>
          <w:b w:val="0"/>
          <w:sz w:val="32"/>
          <w:szCs w:val="32"/>
        </w:rPr>
        <w:t>，导致</w:t>
      </w:r>
      <w:r>
        <w:rPr>
          <w:rFonts w:hint="eastAsia" w:ascii="仿宋_GB2312" w:eastAsia="仿宋_GB2312"/>
          <w:b w:val="0"/>
          <w:sz w:val="32"/>
          <w:szCs w:val="32"/>
          <w:lang w:val="en-US" w:eastAsia="zh-CN"/>
        </w:rPr>
        <w:t>办公费、差旅费等</w:t>
      </w:r>
      <w:r>
        <w:rPr>
          <w:rFonts w:ascii="仿宋_GB2312" w:eastAsia="仿宋_GB2312"/>
          <w:b w:val="0"/>
          <w:sz w:val="32"/>
          <w:szCs w:val="32"/>
        </w:rPr>
        <w:t>支出较上年增加。</w:t>
      </w:r>
    </w:p>
    <w:p w14:paraId="63E024CD">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（二）政府采购情况</w:t>
      </w:r>
    </w:p>
    <w:p w14:paraId="7599793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2025年度政府采购支出总额1,800.10万元，其中：政府采购货物支出1,796.42万元、政府采购工程支出0.00万元、政府采购服务支出3.68万元。</w:t>
      </w:r>
    </w:p>
    <w:p w14:paraId="0FF4CF4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授予中小企业合同金额846.28万元，占政府采购支出总额的47.01%，其中：授予小微企业合同金额82.78万元，占政府采购支出总额的4.60%。</w:t>
      </w:r>
    </w:p>
    <w:p w14:paraId="3E97D7B9">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（三）国有资产占用情况说明</w:t>
      </w:r>
    </w:p>
    <w:p w14:paraId="221AB2E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2025年12月31日，房屋35,532.81平方米，价值5,558.79万元。车辆12辆，价值281.56万元，其中：副部（省）级及以上领导用车0辆、主要负责人用车3辆、机要通信用车0辆、应急保障用车0辆、执法执勤用车0辆、特种专业技术用车1辆、离退休干部服务用车0辆、其他用车8辆，其他用车主要是：</w:t>
      </w:r>
      <w:r>
        <w:rPr>
          <w:rFonts w:hint="eastAsia" w:ascii="仿宋_GB2312" w:eastAsia="仿宋_GB2312"/>
          <w:b w:val="0"/>
          <w:sz w:val="32"/>
          <w:szCs w:val="32"/>
        </w:rPr>
        <w:t>一般公务用车及业务</w:t>
      </w:r>
      <w:r>
        <w:rPr>
          <w:rFonts w:ascii="仿宋_GB2312" w:eastAsia="仿宋_GB2312"/>
          <w:b w:val="0"/>
          <w:sz w:val="32"/>
          <w:szCs w:val="32"/>
        </w:rPr>
        <w:t>用车;单价100万元（含）以上设备（不含车辆）4台（套）。</w:t>
      </w:r>
    </w:p>
    <w:p w14:paraId="5F18217A">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14:paraId="0141691F">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w:t>
      </w:r>
      <w:r>
        <w:rPr>
          <w:rFonts w:hint="eastAsia" w:ascii="仿宋_GB2312" w:eastAsia="仿宋_GB2312"/>
          <w:b w:val="0"/>
          <w:sz w:val="32"/>
          <w:szCs w:val="32"/>
          <w:lang w:val="en-US" w:eastAsia="zh-CN"/>
        </w:rPr>
        <w:t>部门</w:t>
      </w:r>
      <w:r>
        <w:rPr>
          <w:rFonts w:ascii="仿宋_GB2312" w:eastAsia="仿宋_GB2312"/>
          <w:b w:val="0"/>
          <w:sz w:val="32"/>
          <w:szCs w:val="32"/>
        </w:rPr>
        <w:t>2025年度预算绩效评价项目7个，全年预算数8,845.11万元，全年执行数8,845.11万元。预算绩效管理取得的成效：一是按照绩效目标高效、高质量完成各项工作内容；二是能够及时发现问题并及时调整各项工作内容。发现的问题及原因：一是前期绩效目标不够细致；二是没有考虑到项目实施可能遇到的变量。下一步改进措施：一是完善预算绩效管理基础工作，做细各项绩效指标；二是继续提升预算绩效管理的深度和广度，全面考虑项目实施各项因素。具体附项目支出绩效自评表。</w:t>
      </w:r>
    </w:p>
    <w:p w14:paraId="61F67A55">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14:paraId="0A232EB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本部门无其他需说明的事项。</w:t>
      </w:r>
    </w:p>
    <w:p w14:paraId="0D0CB112">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14:paraId="2C37C62F">
      <w:pPr>
        <w:widowControl/>
      </w:pPr>
      <w:r>
        <w:rPr>
          <w:b w:val="0"/>
          <w:sz w:val="0"/>
          <w:szCs w:val="0"/>
        </w:rPr>
        <w:br w:type="page"/>
      </w:r>
    </w:p>
    <w:p w14:paraId="30572478">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14:paraId="3F66890F">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指单位本年度从同级财政部门取得的财政拨款，包括一般公共预算财政拨款、政府性基金预算财政拨款和国有资本经营预算财政拨款。</w:t>
      </w:r>
    </w:p>
    <w:p w14:paraId="397E99DC">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14:paraId="0CF21BC5">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指事业单位开展专业业务活动及其辅助活动取得的收入。</w:t>
      </w:r>
    </w:p>
    <w:p w14:paraId="2C99E091">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14:paraId="20AB5CE9">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指事业单位附属独立核算单位按照有关规定上缴的收入。</w:t>
      </w:r>
    </w:p>
    <w:p w14:paraId="7632A3AB">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指单位取得的除上述“财政拨款收入”“上级补助收入”“事业收入”“经营收入”“附属单位上缴收入”以外的各项收入。</w:t>
      </w:r>
    </w:p>
    <w:p w14:paraId="16BD8CE9">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指单位上年结转本年使用的基本支出结转、项目支出结转和结余、经营结余。</w:t>
      </w:r>
    </w:p>
    <w:p w14:paraId="57BBA76A">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ascii="仿宋_GB2312" w:eastAsia="仿宋_GB2312"/>
          <w:b/>
          <w:sz w:val="32"/>
          <w:szCs w:val="32"/>
        </w:rPr>
        <w:t>八、使用非财政拨款结余（含专用结余）：</w:t>
      </w:r>
      <w:r>
        <w:rPr>
          <w:rFonts w:ascii="仿宋_GB2312" w:eastAsia="仿宋_GB2312"/>
          <w:b w:val="0"/>
          <w:sz w:val="32"/>
          <w:szCs w:val="32"/>
        </w:rPr>
        <w:t>指单位按照预算管理要求使用非财政拨款结余弥补收支差额的金额，以及使用专用结余安排支出的金额。</w:t>
      </w:r>
    </w:p>
    <w:p w14:paraId="427D89A6">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ascii="仿宋_GB2312" w:eastAsia="仿宋_GB2312"/>
          <w:b/>
          <w:sz w:val="32"/>
          <w:szCs w:val="32"/>
        </w:rPr>
        <w:t>九、结余分配</w:t>
      </w:r>
      <w:r>
        <w:rPr>
          <w:rFonts w:ascii="仿宋_GB2312" w:eastAsia="仿宋_GB2312"/>
          <w:b w:val="0"/>
          <w:sz w:val="32"/>
          <w:szCs w:val="32"/>
        </w:rPr>
        <w:t>：指单位缴纳企业所得税以及从非财政拨款结余或经营结余中提取各类结余的情况。</w:t>
      </w:r>
    </w:p>
    <w:p w14:paraId="76D4C03A">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ascii="仿宋_GB2312" w:eastAsia="仿宋_GB2312"/>
          <w:b/>
          <w:sz w:val="32"/>
          <w:szCs w:val="32"/>
        </w:rPr>
        <w:t>十、年末结转和结余</w:t>
      </w:r>
      <w:r>
        <w:rPr>
          <w:rFonts w:ascii="仿宋_GB2312" w:eastAsia="仿宋_GB2312"/>
          <w:b w:val="0"/>
          <w:sz w:val="32"/>
          <w:szCs w:val="32"/>
        </w:rPr>
        <w:t>：指单位结转下年的基本支出结转、项目支出结转和结余、经营结余。</w:t>
      </w:r>
    </w:p>
    <w:p w14:paraId="7F761A95">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ascii="仿宋_GB2312" w:eastAsia="仿宋_GB2312"/>
          <w:b/>
          <w:sz w:val="32"/>
          <w:szCs w:val="32"/>
        </w:rPr>
        <w:t>十一、基本支出</w:t>
      </w:r>
      <w:r>
        <w:rPr>
          <w:rFonts w:ascii="仿宋_GB2312" w:eastAsia="仿宋_GB2312"/>
          <w:b w:val="0"/>
          <w:sz w:val="32"/>
          <w:szCs w:val="32"/>
        </w:rPr>
        <w:t>：指单位为保障机构正常运转、完成日常工作任务而发生的各项支出。</w:t>
      </w:r>
    </w:p>
    <w:p w14:paraId="028203B7">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ascii="仿宋_GB2312" w:eastAsia="仿宋_GB2312"/>
          <w:b/>
          <w:sz w:val="32"/>
          <w:szCs w:val="32"/>
        </w:rPr>
        <w:t>十二、项目支出：</w:t>
      </w:r>
      <w:r>
        <w:rPr>
          <w:rFonts w:ascii="仿宋_GB2312" w:eastAsia="仿宋_GB2312"/>
          <w:b w:val="0"/>
          <w:sz w:val="32"/>
          <w:szCs w:val="32"/>
        </w:rPr>
        <w:t>指单位为完成特定的行政工作任务或事业发展目标，在基本支出之外发生的各项支出。</w:t>
      </w:r>
    </w:p>
    <w:p w14:paraId="00F56194">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ascii="仿宋_GB2312" w:eastAsia="仿宋_GB2312"/>
          <w:b/>
          <w:sz w:val="32"/>
          <w:szCs w:val="32"/>
        </w:rPr>
        <w:t>十三、上缴上级支出：</w:t>
      </w:r>
      <w:r>
        <w:rPr>
          <w:rFonts w:ascii="仿宋_GB2312" w:eastAsia="仿宋_GB2312"/>
          <w:b w:val="0"/>
          <w:sz w:val="32"/>
          <w:szCs w:val="32"/>
        </w:rPr>
        <w:t>指事业单位按照财政部门和主管部门的规定上缴上级单位的支出。</w:t>
      </w:r>
    </w:p>
    <w:p w14:paraId="07F3C804">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ascii="仿宋_GB2312" w:eastAsia="仿宋_GB2312"/>
          <w:b/>
          <w:sz w:val="32"/>
          <w:szCs w:val="32"/>
        </w:rPr>
        <w:t>十四、经营支出：</w:t>
      </w:r>
      <w:r>
        <w:rPr>
          <w:rFonts w:ascii="仿宋_GB2312" w:eastAsia="仿宋_GB2312"/>
          <w:b w:val="0"/>
          <w:sz w:val="32"/>
          <w:szCs w:val="32"/>
        </w:rPr>
        <w:t>指事业单位在专业活动及辅助活动之外开展非独立核算经营活动发生的支出。</w:t>
      </w:r>
    </w:p>
    <w:p w14:paraId="34A4333A">
      <w:pPr>
        <w:widowControl/>
        <w:spacing w:before="0" w:beforeLines="0" w:beforeAutospacing="0" w:after="0" w:afterLines="0" w:afterAutospacing="0" w:line="240" w:lineRule="auto"/>
        <w:ind w:firstLine="643" w:firstLineChars="200"/>
        <w:jc w:val="both"/>
        <w:rPr>
          <w:rFonts w:ascii="宋体" w:eastAsia="仿宋_GB2312"/>
          <w:sz w:val="32"/>
          <w:szCs w:val="32"/>
        </w:rPr>
      </w:pPr>
      <w:r>
        <w:rPr>
          <w:rFonts w:ascii="宋体" w:eastAsia="仿宋_GB2312"/>
          <w:b/>
          <w:sz w:val="32"/>
          <w:szCs w:val="32"/>
        </w:rPr>
        <w:t>十五、对附属单位补助支出：</w:t>
      </w:r>
      <w:r>
        <w:rPr>
          <w:rFonts w:ascii="宋体" w:eastAsia="仿宋_GB2312"/>
          <w:b w:val="0"/>
          <w:sz w:val="32"/>
          <w:szCs w:val="32"/>
        </w:rPr>
        <w:t>指事业单位用财政补助收入之外的收入对附属单位补助发生的支出。</w:t>
      </w:r>
    </w:p>
    <w:p w14:paraId="1D4C442C">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ascii="仿宋_GB2312" w:eastAsia="仿宋_GB2312"/>
          <w:b/>
          <w:sz w:val="32"/>
          <w:szCs w:val="32"/>
        </w:rPr>
        <w:t>十六、“三公”经费：</w:t>
      </w:r>
      <w:r>
        <w:rPr>
          <w:rFonts w:ascii="仿宋_GB2312" w:eastAsia="仿宋_GB2312"/>
          <w:b w:val="0"/>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3574C283">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ascii="仿宋_GB2312" w:eastAsia="仿宋_GB2312"/>
          <w:b/>
          <w:sz w:val="32"/>
          <w:szCs w:val="32"/>
        </w:rPr>
        <w:t>十七、机关运行经费：</w:t>
      </w:r>
      <w:r>
        <w:rPr>
          <w:rFonts w:ascii="仿宋_GB2312" w:eastAsia="仿宋_GB2312"/>
          <w:b w:val="0"/>
          <w:sz w:val="32"/>
          <w:szCs w:val="32"/>
        </w:rPr>
        <w:t>指行政单位和参照公务员法管理的事业单位财政拨款基本支出中的公用经费支出。</w:t>
      </w:r>
    </w:p>
    <w:p w14:paraId="5A1436CF">
      <w:pPr>
        <w:widowControl/>
      </w:pPr>
      <w:r>
        <w:rPr>
          <w:b w:val="0"/>
          <w:sz w:val="0"/>
          <w:szCs w:val="0"/>
        </w:rPr>
        <w:br w:type="page"/>
      </w:r>
    </w:p>
    <w:p w14:paraId="5BEF45CE">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w:t>
      </w:r>
      <w:bookmarkStart w:id="0" w:name="_GoBack"/>
      <w:bookmarkEnd w:id="0"/>
      <w:r>
        <w:rPr>
          <w:rFonts w:ascii="黑体" w:eastAsia="黑体"/>
          <w:b w:val="0"/>
          <w:sz w:val="32"/>
          <w:szCs w:val="32"/>
        </w:rPr>
        <w:t>报表（见附表）</w:t>
      </w:r>
    </w:p>
    <w:p w14:paraId="674BCEDC">
      <w:pPr>
        <w:widowControl/>
        <w:spacing w:before="0" w:beforeLines="0" w:beforeAutospacing="0" w:after="0" w:afterLines="0" w:afterAutospacing="0" w:line="240" w:lineRule="auto"/>
        <w:ind w:firstLine="640" w:firstLineChars="200"/>
        <w:jc w:val="both"/>
        <w:outlineLvl w:val="1"/>
        <w:rPr>
          <w:rFonts w:ascii="仿宋_GB2312" w:eastAsia="仿宋_GB2312"/>
          <w:sz w:val="32"/>
          <w:szCs w:val="32"/>
        </w:rPr>
      </w:pPr>
      <w:r>
        <w:rPr>
          <w:rFonts w:ascii="仿宋_GB2312" w:eastAsia="仿宋_GB2312"/>
          <w:b w:val="0"/>
          <w:sz w:val="32"/>
          <w:szCs w:val="32"/>
        </w:rPr>
        <w:t>一、《收入支出决算总表》</w:t>
      </w:r>
    </w:p>
    <w:p w14:paraId="70E0BC22">
      <w:pPr>
        <w:widowControl/>
        <w:spacing w:before="0" w:beforeLines="0" w:beforeAutospacing="0" w:after="0" w:afterLines="0" w:afterAutospacing="0" w:line="240" w:lineRule="auto"/>
        <w:ind w:firstLine="640" w:firstLineChars="200"/>
        <w:jc w:val="both"/>
        <w:outlineLvl w:val="1"/>
        <w:rPr>
          <w:rFonts w:ascii="仿宋_GB2312" w:eastAsia="仿宋_GB2312"/>
          <w:sz w:val="32"/>
          <w:szCs w:val="32"/>
        </w:rPr>
      </w:pPr>
      <w:r>
        <w:rPr>
          <w:rFonts w:ascii="仿宋_GB2312" w:eastAsia="仿宋_GB2312"/>
          <w:b w:val="0"/>
          <w:sz w:val="32"/>
          <w:szCs w:val="32"/>
        </w:rPr>
        <w:t>二、《收入决算表》</w:t>
      </w:r>
    </w:p>
    <w:p w14:paraId="2970C8A9">
      <w:pPr>
        <w:widowControl/>
        <w:spacing w:before="0" w:beforeLines="0" w:beforeAutospacing="0" w:after="0" w:afterLines="0" w:afterAutospacing="0" w:line="240" w:lineRule="auto"/>
        <w:ind w:firstLine="640" w:firstLineChars="200"/>
        <w:jc w:val="both"/>
        <w:outlineLvl w:val="1"/>
        <w:rPr>
          <w:rFonts w:ascii="仿宋_GB2312" w:eastAsia="仿宋_GB2312"/>
          <w:sz w:val="32"/>
          <w:szCs w:val="32"/>
        </w:rPr>
      </w:pPr>
      <w:r>
        <w:rPr>
          <w:rFonts w:ascii="仿宋_GB2312" w:eastAsia="仿宋_GB2312"/>
          <w:b w:val="0"/>
          <w:sz w:val="32"/>
          <w:szCs w:val="32"/>
        </w:rPr>
        <w:t>三、《支出决算表》</w:t>
      </w:r>
    </w:p>
    <w:p w14:paraId="1DEB954D">
      <w:pPr>
        <w:widowControl/>
        <w:spacing w:before="0" w:beforeLines="0" w:beforeAutospacing="0" w:after="0" w:afterLines="0" w:afterAutospacing="0" w:line="240" w:lineRule="auto"/>
        <w:ind w:firstLine="640" w:firstLineChars="200"/>
        <w:jc w:val="both"/>
        <w:outlineLvl w:val="1"/>
        <w:rPr>
          <w:rFonts w:ascii="仿宋_GB2312" w:eastAsia="仿宋_GB2312"/>
          <w:sz w:val="32"/>
          <w:szCs w:val="32"/>
        </w:rPr>
      </w:pPr>
      <w:r>
        <w:rPr>
          <w:rFonts w:ascii="仿宋_GB2312" w:eastAsia="仿宋_GB2312"/>
          <w:b w:val="0"/>
          <w:sz w:val="32"/>
          <w:szCs w:val="32"/>
        </w:rPr>
        <w:t>四、《财政拨款收入支出决算总表》</w:t>
      </w:r>
    </w:p>
    <w:p w14:paraId="36CEAF69">
      <w:pPr>
        <w:widowControl/>
        <w:spacing w:before="0" w:beforeLines="0" w:beforeAutospacing="0" w:after="0" w:afterLines="0" w:afterAutospacing="0" w:line="240" w:lineRule="auto"/>
        <w:ind w:firstLine="640" w:firstLineChars="200"/>
        <w:jc w:val="both"/>
        <w:outlineLvl w:val="1"/>
        <w:rPr>
          <w:rFonts w:ascii="仿宋_GB2312" w:eastAsia="仿宋_GB2312"/>
          <w:sz w:val="32"/>
          <w:szCs w:val="32"/>
        </w:rPr>
      </w:pPr>
      <w:r>
        <w:rPr>
          <w:rFonts w:ascii="仿宋_GB2312" w:eastAsia="仿宋_GB2312"/>
          <w:b w:val="0"/>
          <w:sz w:val="32"/>
          <w:szCs w:val="32"/>
        </w:rPr>
        <w:t>五、《一般公共预算财政拨款支出决算表》</w:t>
      </w:r>
    </w:p>
    <w:p w14:paraId="1A4BF0A4">
      <w:pPr>
        <w:widowControl/>
        <w:spacing w:before="0" w:beforeLines="0" w:beforeAutospacing="0" w:after="0" w:afterLines="0" w:afterAutospacing="0" w:line="240" w:lineRule="auto"/>
        <w:ind w:firstLine="640" w:firstLineChars="200"/>
        <w:jc w:val="both"/>
        <w:outlineLvl w:val="1"/>
        <w:rPr>
          <w:rFonts w:ascii="仿宋_GB2312" w:eastAsia="仿宋_GB2312"/>
          <w:sz w:val="32"/>
          <w:szCs w:val="32"/>
        </w:rPr>
      </w:pPr>
      <w:r>
        <w:rPr>
          <w:rFonts w:ascii="仿宋_GB2312" w:eastAsia="仿宋_GB2312"/>
          <w:b w:val="0"/>
          <w:sz w:val="32"/>
          <w:szCs w:val="32"/>
        </w:rPr>
        <w:t>六、《一般公共预算财政拨款基本支出决算表》</w:t>
      </w:r>
    </w:p>
    <w:p w14:paraId="4F2ECB44">
      <w:pPr>
        <w:widowControl/>
        <w:spacing w:before="0" w:beforeLines="0" w:beforeAutospacing="0" w:after="0" w:afterLines="0" w:afterAutospacing="0" w:line="240" w:lineRule="auto"/>
        <w:ind w:firstLine="640" w:firstLineChars="200"/>
        <w:jc w:val="both"/>
        <w:outlineLvl w:val="1"/>
        <w:rPr>
          <w:rFonts w:ascii="仿宋_GB2312" w:eastAsia="仿宋_GB2312"/>
          <w:sz w:val="32"/>
          <w:szCs w:val="32"/>
        </w:rPr>
      </w:pPr>
      <w:r>
        <w:rPr>
          <w:rFonts w:ascii="仿宋_GB2312" w:eastAsia="仿宋_GB2312"/>
          <w:b w:val="0"/>
          <w:sz w:val="32"/>
          <w:szCs w:val="32"/>
        </w:rPr>
        <w:t>七、《政府性基金预算财政拨款收入支出决算表》</w:t>
      </w:r>
    </w:p>
    <w:p w14:paraId="4EF0517F">
      <w:pPr>
        <w:widowControl/>
        <w:spacing w:before="0" w:beforeLines="0" w:beforeAutospacing="0" w:after="0" w:afterLines="0" w:afterAutospacing="0" w:line="240" w:lineRule="auto"/>
        <w:ind w:firstLine="640" w:firstLineChars="200"/>
        <w:jc w:val="both"/>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14:paraId="5A077DA6">
      <w:pPr>
        <w:widowControl/>
        <w:spacing w:before="0" w:beforeLines="0" w:beforeAutospacing="0" w:after="0" w:afterLines="0" w:afterAutospacing="0" w:line="240" w:lineRule="auto"/>
        <w:ind w:firstLine="640" w:firstLineChars="200"/>
        <w:jc w:val="both"/>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69A65B"/>
    <w:multiLevelType w:val="singleLevel"/>
    <w:tmpl w:val="D969A65B"/>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docVars>
    <w:docVar w:name="commondata" w:val="eyJoZGlkIjoiODViY2JkMjU3NGYzZTEwMzZmMGFkZWViYmNkYWU3NDIifQ=="/>
  </w:docVars>
  <w:rsids>
    <w:rsidRoot w:val="00000000"/>
    <w:rsid w:val="06AA523B"/>
    <w:rsid w:val="085D5D50"/>
    <w:rsid w:val="15ED7C1A"/>
    <w:rsid w:val="1AC6751C"/>
    <w:rsid w:val="200C1F5C"/>
    <w:rsid w:val="25351A4A"/>
    <w:rsid w:val="26C41850"/>
    <w:rsid w:val="29763DAA"/>
    <w:rsid w:val="308A55CD"/>
    <w:rsid w:val="35060026"/>
    <w:rsid w:val="359C4095"/>
    <w:rsid w:val="3A5B3146"/>
    <w:rsid w:val="44C75351"/>
    <w:rsid w:val="46DB0A33"/>
    <w:rsid w:val="5FED7EE6"/>
    <w:rsid w:val="60862390"/>
    <w:rsid w:val="6B340F05"/>
    <w:rsid w:val="6EDA6095"/>
    <w:rsid w:val="7229013C"/>
    <w:rsid w:val="777A082A"/>
    <w:rsid w:val="786A68CB"/>
    <w:rsid w:val="7F534CB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qFormat="1"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annotation text"/>
    <w:basedOn w:val="1"/>
    <w:semiHidden/>
    <w:unhideWhenUsed/>
    <w:qFormat/>
    <w:uiPriority w:val="99"/>
    <w:pPr>
      <w:jc w:val="left"/>
    </w:p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1">
    <w:name w:val="Title"/>
    <w:basedOn w:val="1"/>
    <w:next w:val="1"/>
    <w:link w:val="23"/>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5">
    <w:name w:val="Emphasis"/>
    <w:basedOn w:val="14"/>
    <w:qFormat/>
    <w:uiPriority w:val="20"/>
    <w:rPr>
      <w:i/>
      <w:iCs/>
    </w:rPr>
  </w:style>
  <w:style w:type="character" w:styleId="16">
    <w:name w:val="Hyperlink"/>
    <w:basedOn w:val="14"/>
    <w:unhideWhenUsed/>
    <w:qFormat/>
    <w:uiPriority w:val="99"/>
    <w:rPr>
      <w:color w:val="0000FF" w:themeColor="hyperlink"/>
      <w:u w:val="single"/>
    </w:rPr>
  </w:style>
  <w:style w:type="character" w:customStyle="1" w:styleId="17">
    <w:name w:val="Header Char"/>
    <w:basedOn w:val="14"/>
    <w:link w:val="9"/>
    <w:qFormat/>
    <w:uiPriority w:val="99"/>
  </w:style>
  <w:style w:type="character" w:customStyle="1" w:styleId="18">
    <w:name w:val="Heading 1 Char"/>
    <w:basedOn w:val="14"/>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9">
    <w:name w:val="Heading 2 Char"/>
    <w:basedOn w:val="14"/>
    <w:link w:val="3"/>
    <w:qFormat/>
    <w:uiPriority w:val="9"/>
    <w:rPr>
      <w:rFonts w:asciiTheme="majorHAnsi" w:hAnsiTheme="majorHAnsi" w:eastAsiaTheme="majorEastAsia" w:cstheme="majorBidi"/>
      <w:b/>
      <w:bCs/>
      <w:color w:val="4F81BD" w:themeColor="accent1"/>
      <w:sz w:val="26"/>
      <w:szCs w:val="26"/>
    </w:rPr>
  </w:style>
  <w:style w:type="character" w:customStyle="1" w:styleId="20">
    <w:name w:val="Heading 3 Char"/>
    <w:basedOn w:val="14"/>
    <w:link w:val="4"/>
    <w:qFormat/>
    <w:uiPriority w:val="9"/>
    <w:rPr>
      <w:rFonts w:asciiTheme="majorHAnsi" w:hAnsiTheme="majorHAnsi" w:eastAsiaTheme="majorEastAsia" w:cstheme="majorBidi"/>
      <w:b/>
      <w:bCs/>
      <w:color w:val="4F81BD" w:themeColor="accent1"/>
    </w:rPr>
  </w:style>
  <w:style w:type="character" w:customStyle="1" w:styleId="21">
    <w:name w:val="Heading 4 Char"/>
    <w:basedOn w:val="14"/>
    <w:link w:val="5"/>
    <w:qFormat/>
    <w:uiPriority w:val="9"/>
    <w:rPr>
      <w:rFonts w:asciiTheme="majorHAnsi" w:hAnsiTheme="majorHAnsi" w:eastAsiaTheme="majorEastAsia" w:cstheme="majorBidi"/>
      <w:b/>
      <w:bCs/>
      <w:i/>
      <w:iCs/>
      <w:color w:val="4F81BD" w:themeColor="accent1"/>
    </w:rPr>
  </w:style>
  <w:style w:type="character" w:customStyle="1" w:styleId="22">
    <w:name w:val="Subtitle Char"/>
    <w:basedOn w:val="14"/>
    <w:link w:val="10"/>
    <w:qFormat/>
    <w:uiPriority w:val="11"/>
    <w:rPr>
      <w:rFonts w:asciiTheme="majorHAnsi" w:hAnsiTheme="majorHAnsi" w:eastAsiaTheme="majorEastAsia" w:cstheme="majorBidi"/>
      <w:i/>
      <w:iCs/>
      <w:color w:val="4F81BD" w:themeColor="accent1"/>
      <w:spacing w:val="15"/>
      <w:sz w:val="24"/>
      <w:szCs w:val="24"/>
    </w:rPr>
  </w:style>
  <w:style w:type="character" w:customStyle="1" w:styleId="23">
    <w:name w:val="Title Char"/>
    <w:basedOn w:val="14"/>
    <w:link w:val="11"/>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88550fc9-545a-434a-a7c1-0811cbed1374</errorID>
      <errorWord>和</errorWord>
      <group>L1_Word</group>
      <groupName>字词问题</groupName>
      <ability>L2_Typo</ability>
      <abilityName>字词错误</abilityName>
      <candidateList>
        <item>以及</item>
      </candidateList>
      <explain/>
      <paraID>5BF1631A</paraID>
      <start>16</start>
      <end>17</end>
      <status>unmodified</status>
      <modifiedWord/>
      <trackRevisions>false</trackRevisions>
    </reviewItem>
    <reviewItem>
      <errorID>96610d68-a6af-4ef8-96ae-a07d1405ed53</errorID>
      <errorWord>，</errorWord>
      <group>L1_Punc</group>
      <groupName>标点问题</groupName>
      <ability>L2_Punc_CN</ability>
      <abilityName>标点符号问题</abilityName>
      <candidateList>
        <item>、</item>
      </candidateList>
      <explain/>
      <paraID>6FD5A34E</paraID>
      <start>21</start>
      <end>22</end>
      <status>unmodified</status>
      <modifiedWord/>
      <trackRevisions>false</trackRevisions>
    </reviewItem>
    <reviewItem>
      <errorID>dd6bc49e-23b7-40e0-a827-dd54be4665e6</errorID>
      <errorWord>，</errorWord>
      <group>L1_Punc</group>
      <groupName>标点问题</groupName>
      <ability>L2_Punc_CN</ability>
      <abilityName>标点符号问题</abilityName>
      <candidateList>
        <item>、</item>
      </candidateList>
      <explain/>
      <paraID>6FD5A34E</paraID>
      <start>27</start>
      <end>28</end>
      <status>unmodified</status>
      <modifiedWord/>
      <trackRevisions>false</trackRevisions>
    </reviewItem>
    <reviewItem>
      <errorID>4350d2b9-be41-4d01-a095-0baac591bb0f</errorID>
      <errorWord>，</errorWord>
      <group>L1_Word</group>
      <groupName>字词问题</groupName>
      <ability>L2_Typo</ability>
      <abilityName>字词错误</abilityName>
      <candidateList>
        <item>以及</item>
      </candidateList>
      <explain/>
      <paraID>5B06A027</paraID>
      <start>26</start>
      <end>27</end>
      <status>unmodified</status>
      <modifiedWord/>
      <trackRevisions>false</trackRevisions>
    </reviewItem>
    <reviewItem>
      <errorID>514dba08-b8d4-41ff-aede-330a38d2c18d</errorID>
      <errorWord>,</errorWord>
      <group>L1_Format</group>
      <groupName>格式问题</groupName>
      <ability>L2_HalfPunc_CN</ability>
      <abilityName>全半角问题</abilityName>
      <candidateList>
        <item>，</item>
      </candidateList>
      <explain>文本全半角错误。</explain>
      <paraID>6B56B94B</paraID>
      <start>35</start>
      <end>36</end>
      <status>unmodified</status>
      <modifiedWord/>
      <trackRevisions>false</trackRevisions>
    </reviewItem>
    <reviewItem>
      <errorID>75d2a8cf-9df6-4d4a-835d-5bdac318ed42</errorID>
      <errorWord>,</errorWord>
      <group>L1_Format</group>
      <groupName>格式问题</groupName>
      <ability>L2_HalfPunc_CN</ability>
      <abilityName>全半角问题</abilityName>
      <candidateList>
        <item>，</item>
      </candidateList>
      <explain>文本全半角错误。</explain>
      <paraID>6B56B94B</paraID>
      <start>56</start>
      <end>57</end>
      <status>unmodified</status>
      <modifiedWord/>
      <trackRevisions>false</trackRevisions>
    </reviewItem>
    <reviewItem>
      <errorID>6f1d9034-e83b-49ff-8d74-ef11f10ec492</errorID>
      <errorWord>,</errorWord>
      <group>L1_Format</group>
      <groupName>格式问题</groupName>
      <ability>L2_HalfPunc_CN</ability>
      <abilityName>全半角问题</abilityName>
      <candidateList>
        <item>，</item>
      </candidateList>
      <explain>文本全半角错误。</explain>
      <paraID>6B56B94B</paraID>
      <start>97</start>
      <end>98</end>
      <status>unmodified</status>
      <modifiedWord/>
      <trackRevisions>false</trackRevisions>
    </reviewItem>
    <reviewItem>
      <errorID>8ffce47a-305b-4e5a-988c-d305c94560d0</errorID>
      <errorWord>-</errorWord>
      <group>L1_Format</group>
      <groupName>格式问题</groupName>
      <ability>L2_HalfPunc_CN</ability>
      <abilityName>全半角问题</abilityName>
      <candidateList>
        <item>－</item>
      </candidateList>
      <explain>文本全半角错误。</explain>
      <paraID>67B5EB74</paraID>
      <start>269</start>
      <end>270</end>
      <status>unmodified</status>
      <modifiedWord/>
      <trackRevisions>false</trackRevisions>
    </reviewItem>
    <reviewItem>
      <errorID>dc93905e-a329-4d2e-87ff-652b4831e9da</errorID>
      <errorWord>-</errorWord>
      <group>L1_Format</group>
      <groupName>格式问题</groupName>
      <ability>L2_HalfPunc_CN</ability>
      <abilityName>全半角问题</abilityName>
      <candidateList>
        <item>－</item>
      </candidateList>
      <explain>文本全半角错误。</explain>
      <paraID>5A919D9C</paraID>
      <start>303</start>
      <end>304</end>
      <status>unmodified</status>
      <modifiedWord/>
      <trackRevisions>false</trackRevisions>
    </reviewItem>
    <reviewItem>
      <errorID>26d45dbf-ea3c-48fa-9b89-c53494fa8801</errorID>
      <errorWord>-</errorWord>
      <group>L1_Format</group>
      <groupName>格式问题</groupName>
      <ability>L2_HalfPunc_CN</ability>
      <abilityName>全半角问题</abilityName>
      <candidateList>
        <item>－</item>
      </candidateList>
      <explain>文本全半角错误。</explain>
      <paraID>7387C096</paraID>
      <start>98</start>
      <end>99</end>
      <status>unmodified</status>
      <modifiedWord/>
      <trackRevisions>false</trackRevisions>
    </reviewItem>
    <reviewItem>
      <errorID>6dbf17a0-d4b6-4d84-8ad2-6eae4350c514</errorID>
      <errorWord>重点野生动植物</errorWord>
      <group>L1_Word</group>
      <groupName>字词问题</groupName>
      <ability>L2_Typo</ability>
      <abilityName>字词错误</abilityName>
      <candidateList>
        <item>重点保护野生动植物</item>
      </candidateList>
      <explain/>
      <paraID>7387C096</paraID>
      <start>101</start>
      <end>108</end>
      <status>unmodified</status>
      <modifiedWord/>
      <trackRevisions>false</trackRevisions>
    </reviewItem>
    <reviewItem>
      <errorID>df6eed6e-6933-45dd-bddd-bb0fe3ff639c</errorID>
      <errorWord>-</errorWord>
      <group>L1_Format</group>
      <groupName>格式问题</groupName>
      <ability>L2_HalfPunc_CN</ability>
      <abilityName>全半角问题</abilityName>
      <candidateList>
        <item>－</item>
      </candidateList>
      <explain>文本全半角错误。</explain>
      <paraID>4F6CA55D</paraID>
      <start>96</start>
      <end>97</end>
      <status>unmodified</status>
      <modifiedWord/>
      <trackRevisions>false</trackRevisions>
    </reviewItem>
    <reviewItem>
      <errorID>52a0a1a6-6ea0-4b32-a2ac-912fb6bf62c3</errorID>
      <errorWord>，</errorWord>
      <group>L1_Punc</group>
      <groupName>标点问题</groupName>
      <ability>L2_Punc_CN</ability>
      <abilityName>标点符号问题</abilityName>
      <candidateList>
        <item>、</item>
      </candidateList>
      <explain/>
      <paraID>59E9F9F7</paraID>
      <start>119</start>
      <end>120</end>
      <status>unmodified</status>
      <modifiedWord/>
      <trackRevisions>false</trackRevisions>
    </reviewItem>
    <reviewItem>
      <errorID>485f4edf-59aa-4560-a966-ad0ec37b93c5</errorID>
      <errorWord>，</errorWord>
      <group>L1_Punc</group>
      <groupName>标点问题</groupName>
      <ability>L2_Punc_CN</ability>
      <abilityName>标点符号问题</abilityName>
      <candidateList>
        <item>、</item>
      </candidateList>
      <explain/>
      <paraID>59E9F9F7</paraID>
      <start>122</start>
      <end>123</end>
      <status>unmodified</status>
      <modifiedWord/>
      <trackRevisions>false</trackRevisions>
    </reviewItem>
    <reviewItem>
      <errorID>cea3b844-f871-45ec-98b5-4a448f5eff36</errorID>
      <errorWord>-</errorWord>
      <group>L1_Format</group>
      <groupName>格式问题</groupName>
      <ability>L2_HalfPunc_CN</ability>
      <abilityName>全半角问题</abilityName>
      <candidateList>
        <item>－</item>
      </candidateList>
      <explain>文本全半角错误。</explain>
      <paraID>1491E79C</paraID>
      <start>88</start>
      <end>89</end>
      <status>unmodified</status>
      <modifiedWord/>
      <trackRevisions>false</trackRevisions>
    </reviewItem>
    <reviewItem>
      <errorID>0d9f7a1f-a71f-41a0-8251-eea33d3593ab</errorID>
      <errorWord>-</errorWord>
      <group>L1_Format</group>
      <groupName>格式问题</groupName>
      <ability>L2_HalfPunc_CN</ability>
      <abilityName>全半角问题</abilityName>
      <candidateList>
        <item>－</item>
      </candidateList>
      <explain>文本全半角错误。</explain>
      <paraID>1491E79C</paraID>
      <start>97</start>
      <end>98</end>
      <status>unmodified</status>
      <modifiedWord/>
      <trackRevisions>false</trackRevisions>
    </reviewItem>
    <reviewItem>
      <errorID>aeda4872-2670-42ef-9afe-e697d7ae9c21</errorID>
      <errorWord>较</errorWord>
      <group>L1_Word</group>
      <groupName>字词问题</groupName>
      <ability>L2_Typo</ability>
      <abilityName>字词错误</abilityName>
      <candidateList>
        <item>数较</item>
      </candidateList>
      <explain/>
      <paraID>35993C2A</paraID>
      <start>162</start>
      <end>164</end>
      <status>modified</status>
      <modifiedWord>数较</modifiedWord>
      <trackRevisions>false</trackRevisions>
    </reviewItem>
    <reviewItem>
      <errorID>28572a5f-38cc-4435-be7c-6fab47da5cb3</errorID>
      <errorWord>突发</errorWord>
      <group>L1_Grammar</group>
      <groupName>语法问题</groupName>
      <ability>L2_Grammar</ability>
      <abilityName>语法错误</abilityName>
      <candidateList>
        <item>产生突发</item>
      </candidateList>
      <explain/>
      <paraID>75FE8BB7</paraID>
      <start>66</start>
      <end>68</end>
      <status>unmodified</status>
      <modifiedWord/>
      <trackRevisions>false</trackRevisions>
    </reviewItem>
    <reviewItem>
      <errorID>e3a78a0f-209f-4fc3-a909-c09efcb0b7fa</errorID>
      <errorWord>与上年相比</errorWord>
      <group>L1_Grammar</group>
      <groupName>语法问题</groupName>
      <ability>L2_Grammar</ability>
      <abilityName>语法错误</abilityName>
      <candidateList>
        <item>较上年</item>
      </candidateList>
      <explain/>
      <paraID>75FE8BB7</paraID>
      <start>81</start>
      <end>86</end>
      <status>unmodified</status>
      <modifiedWord/>
      <trackRevisions>false</trackRevisions>
    </reviewItem>
    <reviewItem>
      <errorID>a50717f3-4c81-4dcc-b667-71dfe385f07d</errorID>
      <errorWord>,</errorWord>
      <group>L1_Format</group>
      <groupName>格式问题</groupName>
      <ability>L2_HalfPunc_CN</ability>
      <abilityName>全半角问题</abilityName>
      <candidateList>
        <item>，</item>
      </candidateList>
      <explain>文本全半角错误。</explain>
      <paraID>75FE8BB7</paraID>
      <start>111</start>
      <end>112</end>
      <status>unmodified</status>
      <modifiedWord/>
      <trackRevisions>false</trackRevisions>
    </reviewItem>
    <reviewItem>
      <errorID>c83a81b5-a4ee-4785-81d6-f7e51b4cf756</errorID>
      <errorWord>包括</errorWord>
      <group>L1_Word</group>
      <groupName>字词问题</groupName>
      <ability>L2_Typo</ability>
      <abilityName>字词错误</abilityName>
      <candidateList>
        <item>为</item>
      </candidateList>
      <explain/>
      <paraID>7A02EC39</paraID>
      <start>20</start>
      <end>22</end>
      <status>unmodified</status>
      <modifiedWord/>
      <trackRevisions>false</trackRevisions>
    </reviewItem>
    <reviewItem>
      <errorID>7d7ea6cd-0dbc-4290-ba3a-3b1ed8992d45</errorID>
      <errorWord>;</errorWord>
      <group>L1_Format</group>
      <groupName>格式问题</groupName>
      <ability>L2_HalfPunc_CN</ability>
      <abilityName>全半角问题</abilityName>
      <candidateList>
        <item>；</item>
      </candidateList>
      <explain>文本全半角错误。</explain>
      <paraID>221AB2E8</paraID>
      <start>164</start>
      <end>165</end>
      <status>unmodified</status>
      <modifiedWord/>
      <trackRevisions>false</trackRevisions>
    </reviewItem>
  </reviewItems>
  <config/>
</contractReview>
</file>

<file path=customXml/itemProps1.xml><?xml version="1.0" encoding="utf-8"?>
<ds:datastoreItem xmlns:ds="http://schemas.openxmlformats.org/officeDocument/2006/customXml" ds:itemID="{580ff8cc-9891-4498-8867-7396b2f2f3a9}">
  <ds:schemaRefs/>
</ds:datastoreItem>
</file>

<file path=docProps/app.xml><?xml version="1.0" encoding="utf-8"?>
<Properties xmlns="http://schemas.openxmlformats.org/officeDocument/2006/extended-properties" xmlns:vt="http://schemas.openxmlformats.org/officeDocument/2006/docPropsVTypes">
  <Pages>17</Pages>
  <Words>8385</Words>
  <Characters>9395</Characters>
  <TotalTime>65</TotalTime>
  <ScaleCrop>false</ScaleCrop>
  <LinksUpToDate>false</LinksUpToDate>
  <CharactersWithSpaces>9402</CharactersWithSpaces>
  <Application>WPS Office_12.1.0.18608_F1E327BC-269C-435d-A152-05C5408002CA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2026-08-19T09:47:00Z</dcterms:created>
  <dc:creator>Lenovo</dc:creator>
  <cp:lastModifiedBy>雨。</cp:lastModifiedBy>
  <cp:lastPrinted>2026-08-28T03:22:00Z</cp:lastPrinted>
  <dcterms:modified xsi:type="dcterms:W3CDTF">2026-08-29T13:54:25Z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69C708F51A2B4068B310E4C3DE61B4EF_12</vt:lpwstr>
  </property>
  <property fmtid="{D5CDD505-2E9C-101B-9397-08002B2CF9AE}" pid="4" name="KSOTemplateDocerSaveRecord">
    <vt:lpwstr>eyJoZGlkIjoiODFkN2IxNDhjZjg5NmQ2NGM2MDc2OTFlNWI4MDU2NDUiLCJ1c2VySWQiOiI2NzcwNzU0ODgifQ==</vt:lpwstr>
  </property>
</Properties>
</file>