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8FEFB4">
      <w:pPr>
        <w:widowControl/>
        <w:spacing w:before="0" w:beforeLines="0" w:beforeAutospacing="0" w:after="0" w:afterLines="0" w:afterAutospacing="0" w:line="240" w:lineRule="auto"/>
        <w:jc w:val="left"/>
        <w:rPr>
          <w:rFonts w:ascii="宋体" w:eastAsia="宋体"/>
          <w:sz w:val="32"/>
          <w:szCs w:val="32"/>
        </w:rPr>
      </w:pPr>
    </w:p>
    <w:p w14:paraId="77B2060C">
      <w:pPr>
        <w:widowControl/>
        <w:spacing w:before="0" w:beforeLines="0" w:beforeAutospacing="0" w:after="0" w:afterLines="0" w:afterAutospacing="0" w:line="240" w:lineRule="auto"/>
        <w:jc w:val="left"/>
        <w:rPr>
          <w:rFonts w:ascii="宋体" w:eastAsia="宋体"/>
          <w:sz w:val="44"/>
          <w:szCs w:val="44"/>
        </w:rPr>
      </w:pPr>
    </w:p>
    <w:p w14:paraId="26DB1818">
      <w:pPr>
        <w:widowControl/>
        <w:spacing w:before="0" w:beforeLines="0" w:beforeAutospacing="0" w:after="0" w:afterLines="0" w:afterAutospacing="0" w:line="240" w:lineRule="auto"/>
        <w:jc w:val="left"/>
        <w:rPr>
          <w:rFonts w:ascii="宋体" w:eastAsia="宋体"/>
          <w:sz w:val="44"/>
          <w:szCs w:val="44"/>
        </w:rPr>
      </w:pPr>
    </w:p>
    <w:p w14:paraId="52C74E58">
      <w:pPr>
        <w:widowControl/>
        <w:spacing w:before="0" w:beforeLines="0" w:beforeAutospacing="0" w:after="0" w:afterLines="0" w:afterAutospacing="0" w:line="240" w:lineRule="auto"/>
        <w:jc w:val="left"/>
        <w:rPr>
          <w:rFonts w:ascii="宋体" w:eastAsia="宋体"/>
          <w:sz w:val="44"/>
          <w:szCs w:val="44"/>
        </w:rPr>
      </w:pPr>
    </w:p>
    <w:p w14:paraId="16D04BDA">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新疆林业测试中心</w:t>
      </w:r>
    </w:p>
    <w:p w14:paraId="257390FD">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28740F77">
      <w:pPr>
        <w:widowControl/>
      </w:pPr>
      <w:r>
        <w:rPr>
          <w:b w:val="0"/>
          <w:sz w:val="0"/>
          <w:szCs w:val="0"/>
        </w:rPr>
        <w:br w:type="page"/>
      </w:r>
    </w:p>
    <w:p w14:paraId="20E063AA">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6C9FE0E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1AAA23A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6B938FF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45CF40D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13C943E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78AFE60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192B9F7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022F66C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5C20246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4C67A43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61C0A55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052C48A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0601054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1B4525F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7096349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29476E2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738516D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4753DC9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4A709A4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37F1198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186C41C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3687108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1B78B67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6378844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4B3DFA4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2932261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587C4A2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1A929A1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1B1718F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3116285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5BFB432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2EAABF3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0CD5CC1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648869AA">
      <w:pPr>
        <w:widowControl/>
      </w:pPr>
      <w:r>
        <w:rPr>
          <w:b w:val="0"/>
          <w:sz w:val="0"/>
          <w:szCs w:val="0"/>
        </w:rPr>
        <w:br w:type="page"/>
      </w:r>
    </w:p>
    <w:p w14:paraId="17BCC7FC">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2CF9077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4854A83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承揽社会各类单位委托的相关检测工作，开展相关产品质量监督检验检测技术和标准的研究工作。</w:t>
      </w:r>
    </w:p>
    <w:p w14:paraId="20A6B96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3E82400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新疆林业测试中心无下属预算单位。</w:t>
      </w:r>
    </w:p>
    <w:p w14:paraId="1191EEE1">
      <w:pPr>
        <w:widowControl/>
      </w:pPr>
      <w:r>
        <w:rPr>
          <w:b w:val="0"/>
          <w:sz w:val="0"/>
          <w:szCs w:val="0"/>
        </w:rPr>
        <w:br w:type="page"/>
      </w:r>
    </w:p>
    <w:p w14:paraId="089FD046">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435F5B1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5A948A5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2025年度收入总计431.70万元，其中：本年收入合计212.13万元，使用非财政拨款结余（含专用结余）0.00万元，年初结转和结余219.57万元。</w:t>
      </w:r>
    </w:p>
    <w:p w14:paraId="1238FE6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2025年度支出总计431.70万元，其中：本年支出合计221.80万元，结余分配0.00万元，年末结转和结余209.90万元。</w:t>
      </w:r>
    </w:p>
    <w:p w14:paraId="1ED1AA3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收入支出总体与上年相比，减少406.44万元，下降48.49%，主要原因是：</w:t>
      </w:r>
      <w:r>
        <w:rPr>
          <w:rFonts w:hint="eastAsia" w:ascii="仿宋_GB2312" w:eastAsia="仿宋_GB2312"/>
          <w:b w:val="0"/>
          <w:sz w:val="32"/>
          <w:szCs w:val="32"/>
        </w:rPr>
        <w:t>因</w:t>
      </w:r>
      <w:r>
        <w:rPr>
          <w:rFonts w:hint="eastAsia" w:ascii="仿宋_GB2312" w:eastAsia="仿宋_GB2312"/>
          <w:b w:val="0"/>
          <w:sz w:val="32"/>
          <w:szCs w:val="32"/>
          <w:lang w:eastAsia="zh-CN"/>
        </w:rPr>
        <w:t>本单位</w:t>
      </w:r>
      <w:r>
        <w:rPr>
          <w:rFonts w:hint="eastAsia" w:ascii="仿宋_GB2312" w:eastAsia="仿宋_GB2312"/>
          <w:b w:val="0"/>
          <w:sz w:val="32"/>
          <w:szCs w:val="32"/>
        </w:rPr>
        <w:t>机构改革，自治区食用林产品质量安全监测、自治区林草地方标准审核与评估、新疆核桃种质资源指纹图谱构建、新疆果桑种质资源规范管理表型性状鉴定、新疆特色林果种质选育等项目资金由自治区林业科学院执行，导致本单位项目资金较上年减少</w:t>
      </w:r>
      <w:r>
        <w:rPr>
          <w:rFonts w:ascii="仿宋_GB2312" w:eastAsia="仿宋_GB2312"/>
          <w:b w:val="0"/>
          <w:sz w:val="32"/>
          <w:szCs w:val="32"/>
        </w:rPr>
        <w:t>。</w:t>
      </w:r>
    </w:p>
    <w:p w14:paraId="508303D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17BCDB6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本年收入212.13万元，其中：财政拨款收入63.88万元,占30.11%；上级补助收入0.00万元,占0.00%；事业收入147.97万元，占69.75%；经营收入0.00万元,占0.00%；附属单位上缴收入0.00万元，占0.00%；其他收入0.28万元，占0.13%。</w:t>
      </w:r>
    </w:p>
    <w:p w14:paraId="23E0CC0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2AFA85F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本年支出221.80万元，其中：基本支出64.16万元，占28.93%；项目支出157.64万元，占71.07%；上缴上级支出0.00万元，占0.00%；经营支出0.00万元，占0.00%；对附属单位补助支出0.00万元，占0.00%。</w:t>
      </w:r>
    </w:p>
    <w:p w14:paraId="2917855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4B437E4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2025年度财政拨款收入总计63.88万元，其中：年初财政拨款结转和结余0.00万元，本年财政拨款收入63.88万元。财政拨款支出总计63.88万元，其中：年末财政拨款结转和结余0.00万元，本年财政拨款支出63.88万元。</w:t>
      </w:r>
    </w:p>
    <w:p w14:paraId="22DAFD2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财政拨款收入支出总体与上年相比，减少328.52万元，下降83.72%，主要原因是：因</w:t>
      </w:r>
      <w:r>
        <w:rPr>
          <w:rFonts w:hint="eastAsia" w:ascii="仿宋_GB2312" w:eastAsia="仿宋_GB2312"/>
          <w:b w:val="0"/>
          <w:sz w:val="32"/>
          <w:szCs w:val="32"/>
          <w:lang w:eastAsia="zh-CN"/>
        </w:rPr>
        <w:t>本单位</w:t>
      </w:r>
      <w:r>
        <w:rPr>
          <w:rFonts w:ascii="仿宋_GB2312" w:eastAsia="仿宋_GB2312"/>
          <w:b w:val="0"/>
          <w:sz w:val="32"/>
          <w:szCs w:val="32"/>
        </w:rPr>
        <w:t>机构改革，</w:t>
      </w:r>
      <w:r>
        <w:rPr>
          <w:rFonts w:hint="eastAsia" w:ascii="仿宋_GB2312" w:eastAsia="仿宋_GB2312"/>
          <w:b w:val="0"/>
          <w:sz w:val="32"/>
          <w:szCs w:val="32"/>
        </w:rPr>
        <w:t>自治区食用林产品质量安全监测、自治区林草地方标准审核与评估、新疆核桃种质资源指纹图谱构建、新疆果桑种质资源规范管理表型性状鉴定、新疆特色林果种质选育等项目资金由自治区林业科学院执行，导致本单位项目资金较上年减少</w:t>
      </w:r>
      <w:r>
        <w:rPr>
          <w:rFonts w:ascii="仿宋_GB2312" w:eastAsia="仿宋_GB2312"/>
          <w:b w:val="0"/>
          <w:sz w:val="32"/>
          <w:szCs w:val="32"/>
        </w:rPr>
        <w:t>。与年初预算相比，年初预算数54.05万元，决算数63.88万元，预决算差异率18.19%，主要原因是：</w:t>
      </w:r>
      <w:r>
        <w:rPr>
          <w:rFonts w:hint="eastAsia" w:ascii="仿宋_GB2312" w:eastAsia="仿宋_GB2312"/>
          <w:b w:val="0"/>
          <w:sz w:val="32"/>
          <w:szCs w:val="32"/>
        </w:rPr>
        <w:t>年中追加人员工资、社保、公积金基数调增部分资金及做实2025年职业年金，导致预决算存在差异</w:t>
      </w:r>
      <w:r>
        <w:rPr>
          <w:rFonts w:ascii="仿宋_GB2312" w:eastAsia="仿宋_GB2312"/>
          <w:b w:val="0"/>
          <w:sz w:val="32"/>
          <w:szCs w:val="32"/>
        </w:rPr>
        <w:t>。</w:t>
      </w:r>
    </w:p>
    <w:p w14:paraId="3D68912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4AA50119">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按照党中央、国务院关于党政机关习惯过紧日子的有关要求，厉行节约办一切事业，严控一般性支出。同时坚持有保有压，优化支出结构，提高资金使用效率，合理保障科研业务开展、人才队伍建设、</w:t>
      </w:r>
      <w:r>
        <w:rPr>
          <w:rFonts w:hint="eastAsia" w:ascii="仿宋_GB2312" w:eastAsia="仿宋_GB2312"/>
          <w:b w:val="0"/>
          <w:sz w:val="32"/>
          <w:szCs w:val="32"/>
          <w:lang w:val="en-US" w:eastAsia="zh-CN"/>
        </w:rPr>
        <w:t>机构运行</w:t>
      </w:r>
      <w:r>
        <w:rPr>
          <w:rFonts w:ascii="仿宋_GB2312" w:eastAsia="仿宋_GB2312"/>
          <w:b w:val="0"/>
          <w:sz w:val="32"/>
          <w:szCs w:val="32"/>
        </w:rPr>
        <w:t>等重点支出，体现在有关支出科目中。</w:t>
      </w:r>
    </w:p>
    <w:p w14:paraId="6056D29C">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科学技术支出（类）应用研究（款）机构运行（项）的支出占本年财政拨款支出总额的比重最高，2025年度决算数为63.88万元，占比100.00%，主要用于保障单位日常履职运转、人才队伍建设及基层科研工作有序推进。具体涵盖单位在职人员工资福利、社会保障缴费等人员经费支出，保障科研人员稳定履职；覆盖办公运转、耗材采购、设备维保等日常公用经费，维系单位常态化运转。</w:t>
      </w:r>
    </w:p>
    <w:p w14:paraId="469CED78">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3240350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2025年度一般公共预算财政拨款支出63.88万元，占本年支出合计的28.80%。与上年相比，减少328.52万元，下降83.72%，主要原因是：</w:t>
      </w:r>
      <w:r>
        <w:rPr>
          <w:rFonts w:hint="eastAsia" w:ascii="仿宋_GB2312" w:eastAsia="仿宋_GB2312"/>
          <w:b w:val="0"/>
          <w:sz w:val="32"/>
          <w:szCs w:val="32"/>
        </w:rPr>
        <w:t>因</w:t>
      </w:r>
      <w:r>
        <w:rPr>
          <w:rFonts w:hint="eastAsia" w:ascii="仿宋_GB2312" w:eastAsia="仿宋_GB2312"/>
          <w:b w:val="0"/>
          <w:sz w:val="32"/>
          <w:szCs w:val="32"/>
          <w:lang w:eastAsia="zh-CN"/>
        </w:rPr>
        <w:t>本单位</w:t>
      </w:r>
      <w:r>
        <w:rPr>
          <w:rFonts w:hint="eastAsia" w:ascii="仿宋_GB2312" w:eastAsia="仿宋_GB2312"/>
          <w:b w:val="0"/>
          <w:sz w:val="32"/>
          <w:szCs w:val="32"/>
        </w:rPr>
        <w:t>机构改革，自治区食用林产品质量安全监测、自治区林草地方标准审核与评估、新疆核桃种质资源指纹图谱构建、新疆果桑种质资源规范管理表型性状鉴定、新疆特色林果种质选育等项目资金由自治区林业科学院执行，导致本单位项目资金较上年减少</w:t>
      </w:r>
      <w:r>
        <w:rPr>
          <w:rFonts w:ascii="仿宋_GB2312" w:eastAsia="仿宋_GB2312"/>
          <w:b w:val="0"/>
          <w:sz w:val="32"/>
          <w:szCs w:val="32"/>
        </w:rPr>
        <w:t>。与年初预算相比，年初预算数54.05万元，决算数63.88万元，预决算差异率18.19%，主要原因是：</w:t>
      </w:r>
      <w:r>
        <w:rPr>
          <w:rFonts w:hint="eastAsia" w:ascii="仿宋_GB2312" w:eastAsia="仿宋_GB2312"/>
          <w:b w:val="0"/>
          <w:sz w:val="32"/>
          <w:szCs w:val="32"/>
        </w:rPr>
        <w:t>年中追加人员工资、社保、公积金基数调增部分资金及做实2025年职业年金，导致预决算存在差异</w:t>
      </w:r>
      <w:r>
        <w:rPr>
          <w:rFonts w:ascii="仿宋_GB2312" w:eastAsia="仿宋_GB2312"/>
          <w:b w:val="0"/>
          <w:sz w:val="32"/>
          <w:szCs w:val="32"/>
        </w:rPr>
        <w:t>。</w:t>
      </w:r>
    </w:p>
    <w:p w14:paraId="70FD9337">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37F37E8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1.科学技术支出（类）63.88万元，占100.00%。</w:t>
      </w:r>
    </w:p>
    <w:p w14:paraId="546A9F7E">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7F4D988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w:t>
      </w:r>
      <w:r>
        <w:rPr>
          <w:rFonts w:hint="eastAsia" w:ascii="仿宋_GB2312" w:eastAsia="仿宋_GB2312"/>
          <w:b w:val="0"/>
          <w:sz w:val="32"/>
          <w:szCs w:val="32"/>
          <w:lang w:eastAsia="zh-CN"/>
        </w:rPr>
        <w:t>.</w:t>
      </w:r>
      <w:r>
        <w:rPr>
          <w:rFonts w:ascii="仿宋_GB2312" w:eastAsia="仿宋_GB2312"/>
          <w:b w:val="0"/>
          <w:sz w:val="32"/>
          <w:szCs w:val="32"/>
        </w:rPr>
        <w:t>科学技术支出（类）应用研究（款）机构运行（项）：支出决算数为63.88万元，比上年决算增加6.48万元，增长11.29%，主要原因是：</w:t>
      </w:r>
      <w:r>
        <w:rPr>
          <w:rFonts w:hint="eastAsia" w:ascii="仿宋_GB2312" w:eastAsia="仿宋_GB2312"/>
          <w:b w:val="0"/>
          <w:sz w:val="32"/>
          <w:szCs w:val="32"/>
        </w:rPr>
        <w:t>一是本年在职人员工资调增，社保、公积金基数调增，人员经费增加；二是根据政策要求，本年在职人员职业年金做实，职业年金缴费较上年增加</w:t>
      </w:r>
      <w:r>
        <w:rPr>
          <w:rFonts w:ascii="仿宋_GB2312" w:eastAsia="仿宋_GB2312"/>
          <w:b w:val="0"/>
          <w:sz w:val="32"/>
          <w:szCs w:val="32"/>
        </w:rPr>
        <w:t>。</w:t>
      </w:r>
    </w:p>
    <w:p w14:paraId="7F8DCAE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农林水支出（类）林业和草原（款）其他林业和草原支出（项）：支出决算数为0.00万元，比上年决算减少335.00万元，下降100.00%，主要原因是：</w:t>
      </w:r>
      <w:r>
        <w:rPr>
          <w:rFonts w:hint="eastAsia" w:ascii="仿宋_GB2312" w:eastAsia="仿宋_GB2312"/>
          <w:b w:val="0"/>
          <w:sz w:val="32"/>
          <w:szCs w:val="32"/>
        </w:rPr>
        <w:t>因</w:t>
      </w:r>
      <w:r>
        <w:rPr>
          <w:rFonts w:hint="eastAsia" w:ascii="仿宋_GB2312" w:eastAsia="仿宋_GB2312"/>
          <w:b w:val="0"/>
          <w:sz w:val="32"/>
          <w:szCs w:val="32"/>
          <w:lang w:eastAsia="zh-CN"/>
        </w:rPr>
        <w:t>本单位</w:t>
      </w:r>
      <w:r>
        <w:rPr>
          <w:rFonts w:hint="eastAsia" w:ascii="仿宋_GB2312" w:eastAsia="仿宋_GB2312"/>
          <w:b w:val="0"/>
          <w:sz w:val="32"/>
          <w:szCs w:val="32"/>
        </w:rPr>
        <w:t>机构改革，自治区食用林产品质量安全监测、自治区林草地方标准审核与评估、新疆核桃种质资源指纹图谱构建、新疆果桑种质资源规范管理表型性状鉴定、新疆特色林果种质选育等项目资金由自治区林业科学院执行，导致本单位项目资金较上年减少</w:t>
      </w:r>
      <w:r>
        <w:rPr>
          <w:rFonts w:ascii="仿宋_GB2312" w:eastAsia="仿宋_GB2312"/>
          <w:b w:val="0"/>
          <w:sz w:val="32"/>
          <w:szCs w:val="32"/>
        </w:rPr>
        <w:t>。</w:t>
      </w:r>
    </w:p>
    <w:p w14:paraId="38A88AC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16A6586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63.88万元，其中：人员经费60.82万元，包括：基本工资、津贴补贴、奖金、机关事业单位基本养老保险缴费、职业年金缴费、职工基本医疗保险缴费、公务员医疗补助缴费、其他社会保障缴费、住房公积金和退休费。</w:t>
      </w:r>
    </w:p>
    <w:p w14:paraId="2B88B4C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公用经费3.06万元，包括：办公费、水费、邮电费、委托业务费、工会经费、福利费和税金及附加费用。</w:t>
      </w:r>
    </w:p>
    <w:p w14:paraId="7F26067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6D2D256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5CF1731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64AAB78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71953CE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597CA39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2025年度财政拨款“三公”经费支出0.00万元，与上年相比无变化，主要原因是：</w:t>
      </w:r>
      <w:r>
        <w:rPr>
          <w:rFonts w:hint="eastAsia" w:ascii="仿宋_GB2312" w:eastAsia="仿宋_GB2312"/>
          <w:b w:val="0"/>
          <w:sz w:val="32"/>
          <w:szCs w:val="32"/>
          <w:lang w:eastAsia="zh-CN"/>
        </w:rPr>
        <w:t>本单位</w:t>
      </w:r>
      <w:r>
        <w:rPr>
          <w:rFonts w:ascii="仿宋_GB2312" w:eastAsia="仿宋_GB2312"/>
          <w:b w:val="0"/>
          <w:sz w:val="32"/>
          <w:szCs w:val="32"/>
        </w:rPr>
        <w:t>2024年度与2025年度均未安排财政拨款“三公”经费支出。其中：因公出国（境）费用支出0.00万元,占0.00%，与上年相比无变化，主要原因是：</w:t>
      </w:r>
      <w:r>
        <w:rPr>
          <w:rFonts w:hint="eastAsia" w:ascii="仿宋_GB2312" w:eastAsia="仿宋_GB2312"/>
          <w:b w:val="0"/>
          <w:sz w:val="32"/>
          <w:szCs w:val="32"/>
          <w:lang w:eastAsia="zh-CN"/>
        </w:rPr>
        <w:t>本单位</w:t>
      </w:r>
      <w:r>
        <w:rPr>
          <w:rFonts w:ascii="仿宋_GB2312" w:eastAsia="仿宋_GB2312"/>
          <w:b w:val="0"/>
          <w:sz w:val="32"/>
          <w:szCs w:val="32"/>
        </w:rPr>
        <w:t>2024年度与2025年度均未安排因公出国（境）费用；公务用车购置及运行维护费支出0.00万元，占0.00%，与上年相比无变化，主要原因是：</w:t>
      </w:r>
      <w:r>
        <w:rPr>
          <w:rFonts w:hint="eastAsia" w:ascii="仿宋_GB2312" w:eastAsia="仿宋_GB2312"/>
          <w:b w:val="0"/>
          <w:sz w:val="32"/>
          <w:szCs w:val="32"/>
          <w:lang w:eastAsia="zh-CN"/>
        </w:rPr>
        <w:t>本单位</w:t>
      </w:r>
      <w:r>
        <w:rPr>
          <w:rFonts w:ascii="仿宋_GB2312" w:eastAsia="仿宋_GB2312"/>
          <w:b w:val="0"/>
          <w:sz w:val="32"/>
          <w:szCs w:val="32"/>
        </w:rPr>
        <w:t>2024年度与2025年度均未安排公务用车购置及运行维护费；公务接待费支出0.00万元，占0.00%，与上年相比无变化，主要原因是：</w:t>
      </w:r>
      <w:r>
        <w:rPr>
          <w:rFonts w:hint="eastAsia" w:ascii="仿宋_GB2312" w:eastAsia="仿宋_GB2312"/>
          <w:b w:val="0"/>
          <w:sz w:val="32"/>
          <w:szCs w:val="32"/>
          <w:lang w:eastAsia="zh-CN"/>
        </w:rPr>
        <w:t>本单位</w:t>
      </w:r>
      <w:r>
        <w:rPr>
          <w:rFonts w:ascii="仿宋_GB2312" w:eastAsia="仿宋_GB2312"/>
          <w:b w:val="0"/>
          <w:sz w:val="32"/>
          <w:szCs w:val="32"/>
        </w:rPr>
        <w:t>2024年度与2025年度均未安排公务接待费。</w:t>
      </w:r>
    </w:p>
    <w:p w14:paraId="7CB1EAE9">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38498A4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lang w:eastAsia="zh-CN"/>
        </w:rPr>
        <w:t>本单位</w:t>
      </w:r>
      <w:r>
        <w:rPr>
          <w:rFonts w:hint="eastAsia" w:ascii="仿宋_GB2312" w:eastAsia="仿宋_GB2312"/>
          <w:b w:val="0"/>
          <w:sz w:val="32"/>
          <w:szCs w:val="32"/>
          <w:lang w:val="en-US" w:eastAsia="zh-CN"/>
        </w:rPr>
        <w:t>无</w:t>
      </w:r>
      <w:r>
        <w:rPr>
          <w:rFonts w:ascii="仿宋_GB2312" w:eastAsia="仿宋_GB2312"/>
          <w:b w:val="0"/>
          <w:sz w:val="32"/>
          <w:szCs w:val="32"/>
        </w:rPr>
        <w:t>因公出国（境）费用。单位全年安排的因公出国（境）团组0个，因公出国（境）0人次。</w:t>
      </w:r>
    </w:p>
    <w:p w14:paraId="29128C0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w:t>
      </w:r>
      <w:r>
        <w:rPr>
          <w:rFonts w:hint="eastAsia" w:ascii="仿宋_GB2312" w:eastAsia="仿宋_GB2312"/>
          <w:b w:val="0"/>
          <w:sz w:val="32"/>
          <w:szCs w:val="32"/>
          <w:lang w:eastAsia="zh-CN"/>
        </w:rPr>
        <w:t>本单位</w:t>
      </w:r>
      <w:bookmarkStart w:id="0" w:name="_GoBack"/>
      <w:bookmarkEnd w:id="0"/>
      <w:r>
        <w:rPr>
          <w:rFonts w:ascii="仿宋_GB2312" w:eastAsia="仿宋_GB2312"/>
          <w:b w:val="0"/>
          <w:sz w:val="32"/>
          <w:szCs w:val="32"/>
        </w:rPr>
        <w:t>2025年度未安排公务用车运行维护费。公务用车购置数0辆，公务用车保有量0辆。国有资产占用情况中固定资产车辆0辆，与公务用车保有量差异原因是：</w:t>
      </w:r>
      <w:r>
        <w:rPr>
          <w:rFonts w:hint="eastAsia" w:ascii="仿宋_GB2312" w:eastAsia="仿宋_GB2312"/>
          <w:b w:val="0"/>
          <w:sz w:val="32"/>
          <w:szCs w:val="32"/>
        </w:rPr>
        <w:t>本单位公务用车保有量与固定资产车辆一致无差异</w:t>
      </w:r>
      <w:r>
        <w:rPr>
          <w:rFonts w:ascii="仿宋_GB2312" w:eastAsia="仿宋_GB2312"/>
          <w:b w:val="0"/>
          <w:sz w:val="32"/>
          <w:szCs w:val="32"/>
        </w:rPr>
        <w:t>。</w:t>
      </w:r>
    </w:p>
    <w:p w14:paraId="7770E09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本单位</w:t>
      </w:r>
      <w:r>
        <w:rPr>
          <w:rFonts w:ascii="仿宋_GB2312" w:eastAsia="仿宋_GB2312"/>
          <w:b w:val="0"/>
          <w:sz w:val="32"/>
          <w:szCs w:val="32"/>
        </w:rPr>
        <w:t>2025年度未安排公务接待费。单位全年安排的国内公务接待0批次，0人次。</w:t>
      </w:r>
    </w:p>
    <w:p w14:paraId="01E21F4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财政拨款“三公”经费支出。其中：因公出国（境）费用全年预算数0.00万元，决算数0.00万元，预决算差异率0.00%，主要原因是：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因公出国（境）费用；公务用车购置费全年预算数0.00万元，决算数0.00万元，预决算差异率0.00%，主要原因是：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公务用车购置费；公务用车运行维护费全年预算数0.00万元，决算数0.00万元，预决算差异率0.00%，主要原因是：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公务用车运行维护费；公务接待费全年预算数0.00万元，决算数0.00万元，预决算差异率0.00%，主要原因是：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公务接待费。</w:t>
      </w:r>
    </w:p>
    <w:p w14:paraId="3013A61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1DCD746B">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56D3D5A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林业测试中心（事业单位）公用经费支出3.06万元，比上年减少0.92万元，下降23.12%，主要原因是：本年度严格贯彻落实党政机关坚持过紧日子、厉行勤俭节约的工作要求，进一步规范公务运行、物资采购、设备运维、差旅会务等公用经费使用，从严管控一般性、非刚性、非急需支出，持续压减低效、无效开支，致使本年度公用经费支出较上年有所下降。</w:t>
      </w:r>
    </w:p>
    <w:p w14:paraId="1613BB3B">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78882B8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2025年度政府采购支出总额4.70万元，其中：政府采购货物支出4.70万元、政府采购工程支出0.00万元、政府采购服务支出0.00万元。</w:t>
      </w:r>
    </w:p>
    <w:p w14:paraId="7B01F51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授予中小企业合同金额0.50万元，占政府采购支出总额的10.64%，其中：授予小微企业合同金额0.50万元，占政府采购支出总额的10.64%。</w:t>
      </w:r>
    </w:p>
    <w:p w14:paraId="6850C2F8">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73F7BE7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b w:val="0"/>
          <w:sz w:val="32"/>
          <w:szCs w:val="32"/>
          <w:lang w:eastAsia="zh-CN"/>
        </w:rPr>
        <w:t>本单位</w:t>
      </w:r>
      <w:r>
        <w:rPr>
          <w:rFonts w:ascii="仿宋_GB2312" w:eastAsia="仿宋_GB2312"/>
          <w:b w:val="0"/>
          <w:sz w:val="32"/>
          <w:szCs w:val="32"/>
        </w:rPr>
        <w:t>无其他用车;单价100万元（含）以上设备（不含车辆）1台（套）。</w:t>
      </w:r>
    </w:p>
    <w:p w14:paraId="7CD7BE0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6720527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1个，全年预算数220.90万元，全年执行数220.90万元。预算绩效管理取得的成效：一是按照绩效目标高效、高质量完成各项工作内容；二是能够及时发现问题并及时调整各项工作内容。发现的问题及原因：一是前期绩效目标不够细致；二是没有考虑到项目实施可能遇到的变量。下一步改进措施：一是完善预算绩效管理基础工作，做细各项绩效指标；二是继续提升预算绩效管理的深度和广度，全面考虑项目实施各项因素。具体附项目支出绩效自评表。</w:t>
      </w:r>
    </w:p>
    <w:p w14:paraId="689BD39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71BFB87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3851FF94">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0CDB166F">
      <w:pPr>
        <w:widowControl/>
      </w:pPr>
      <w:r>
        <w:rPr>
          <w:b w:val="0"/>
          <w:sz w:val="0"/>
          <w:szCs w:val="0"/>
        </w:rPr>
        <w:br w:type="page"/>
      </w:r>
    </w:p>
    <w:p w14:paraId="13EB0514">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2756C7E9">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1EA950D6">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3FC98A9A">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0A6301A2">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06C14669">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11B9E47C">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38F0F7BA">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4AD07152">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337C78AA">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558C188B">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3AC0E113">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41A9007C">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175C9203">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2A3B8004">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4761A341">
      <w:pPr>
        <w:widowControl/>
        <w:spacing w:before="0" w:beforeLines="0" w:beforeAutospacing="0" w:after="0" w:afterLines="0" w:afterAutospacing="0" w:line="240" w:lineRule="auto"/>
        <w:ind w:firstLine="643" w:firstLineChars="200"/>
        <w:jc w:val="both"/>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77A43FC3">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06994F6E">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67D35218">
      <w:pPr>
        <w:widowControl/>
        <w:jc w:val="both"/>
      </w:pPr>
      <w:r>
        <w:rPr>
          <w:b w:val="0"/>
          <w:sz w:val="0"/>
          <w:szCs w:val="0"/>
        </w:rPr>
        <w:br w:type="page"/>
      </w:r>
    </w:p>
    <w:p w14:paraId="14BEC929">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01AE5D1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0E9BC26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32DE249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1066A6B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6FFED35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4057DE29">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27A8326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184D45C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3338497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000000"/>
    <w:rsid w:val="0A703102"/>
    <w:rsid w:val="13C01807"/>
    <w:rsid w:val="308375DA"/>
    <w:rsid w:val="318B6972"/>
    <w:rsid w:val="407B238E"/>
    <w:rsid w:val="517E6A78"/>
    <w:rsid w:val="5C974BB6"/>
    <w:rsid w:val="604E0F4D"/>
    <w:rsid w:val="675D7927"/>
    <w:rsid w:val="6D2E09FD"/>
    <w:rsid w:val="7B5247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annotation text"/>
    <w:basedOn w:val="1"/>
    <w:semiHidden/>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Title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70d00d9b-8a8b-4e83-8252-d1a556bd55d6</errorID>
      <errorWord>,</errorWord>
      <group>L1_Format</group>
      <groupName>格式问题</groupName>
      <ability>L2_HalfPunc_CN</ability>
      <abilityName>全半角问题</abilityName>
      <candidateList>
        <item>，</item>
      </candidateList>
      <explain>文本全半角错误。</explain>
      <paraID>17BCDB60</paraID>
      <start>29</start>
      <end>30</end>
      <status>unmodified</status>
      <modifiedWord/>
      <trackRevisions>false</trackRevisions>
    </reviewItem>
    <reviewItem>
      <errorID>7b8d1927-7151-48d4-b6d8-ea2d84b810a5</errorID>
      <errorWord>,</errorWord>
      <group>L1_Format</group>
      <groupName>格式问题</groupName>
      <ability>L2_HalfPunc_CN</ability>
      <abilityName>全半角问题</abilityName>
      <candidateList>
        <item>，</item>
      </candidateList>
      <explain>文本全半角错误。</explain>
      <paraID>17BCDB60</paraID>
      <start>50</start>
      <end>51</end>
      <status>unmodified</status>
      <modifiedWord/>
      <trackRevisions>false</trackRevisions>
    </reviewItem>
    <reviewItem>
      <errorID>3e32cdd6-d55c-46dd-872e-d9fb9d174f6c</errorID>
      <errorWord>,</errorWord>
      <group>L1_Format</group>
      <groupName>格式问题</groupName>
      <ability>L2_HalfPunc_CN</ability>
      <abilityName>全半角问题</abilityName>
      <candidateList>
        <item>，</item>
      </candidateList>
      <explain>文本全半角错误。</explain>
      <paraID>17BCDB60</paraID>
      <start>89</start>
      <end>90</end>
      <status>unmodified</status>
      <modifiedWord/>
      <trackRevisions>false</trackRevisions>
    </reviewItem>
    <reviewItem>
      <errorID>3e93d73d-d262-4e1d-b106-4fbaebba6429</errorID>
      <errorWord>费用支出</errorWord>
      <group>L1_Grammar</group>
      <groupName>语法问题</groupName>
      <ability>L2_Grammar</ability>
      <abilityName>语法错误</abilityName>
      <candidateList>
        <item>费用</item>
      </candidateList>
      <explain/>
      <paraID>597CA390</paraID>
      <start>83</start>
      <end>87</end>
      <status>unmodified</status>
      <modifiedWord/>
      <trackRevisions>false</trackRevisions>
    </reviewItem>
    <reviewItem>
      <errorID>8078e8c7-41d4-4858-8408-d08144f83ef4</errorID>
      <errorWord>,</errorWord>
      <group>L1_Format</group>
      <groupName>格式问题</groupName>
      <ability>L2_HalfPunc_CN</ability>
      <abilityName>全半角问题</abilityName>
      <candidateList>
        <item>，</item>
      </candidateList>
      <explain>文本全半角错误。</explain>
      <paraID>597CA390</paraID>
      <start>93</start>
      <end>94</end>
      <status>unmodified</status>
      <modifiedWord/>
      <trackRevisions>false</trackRevisions>
    </reviewItem>
    <reviewItem>
      <errorID>daedeaa0-4e07-4bbd-82a0-906a776c41fe</errorID>
      <errorWord>；</errorWord>
      <group>L1_Punc</group>
      <groupName>标点问题</groupName>
      <ability>L2_Punc_CN</ability>
      <abilityName>标点符号问题</abilityName>
      <candidateList>
        <item>。</item>
      </candidateList>
      <explain/>
      <paraID>597CA390</paraID>
      <start>145</start>
      <end>146</end>
      <status>unmodified</status>
      <modifiedWord/>
      <trackRevisions>false</trackRevisions>
    </reviewItem>
    <reviewItem>
      <errorID>35145db1-2acc-4149-8330-2126f04bbf3b</errorID>
      <errorWord>包括</errorWord>
      <group>L1_Word</group>
      <groupName>字词问题</groupName>
      <ability>L2_Typo</ability>
      <abilityName>字词错误</abilityName>
      <candidateList>
        <item>为</item>
      </candidateList>
      <explain/>
      <paraID>29128C0C</paraID>
      <start>65</start>
      <end>67</end>
      <status>unmodified</status>
      <modifiedWord/>
      <trackRevisions>false</trackRevisions>
    </reviewItem>
    <reviewItem>
      <errorID>f72cab1d-d944-4ef0-b495-a632e5aae69c</errorID>
      <errorWord>包括</errorWord>
      <group>L1_Word</group>
      <groupName>字词问题</groupName>
      <ability>L2_Typo</ability>
      <abilityName>字词错误</abilityName>
      <candidateList>
        <item>为</item>
      </candidateList>
      <explain/>
      <paraID>7770E092</paraID>
      <start>16</start>
      <end>18</end>
      <status>unmodified</status>
      <modifiedWord/>
      <trackRevisions>false</trackRevisions>
    </reviewItem>
    <reviewItem>
      <errorID>0a4d7c3a-0507-417c-b031-6a93f60ced0d</errorID>
      <errorWord>;</errorWord>
      <group>L1_Punc</group>
      <groupName>标点问题</groupName>
      <ability>L2_Punc_CN</ability>
      <abilityName>标点符号问题</abilityName>
      <candidateList>
        <item>。</item>
      </candidateList>
      <explain/>
      <paraID>73F7BE75</paraID>
      <start>149</start>
      <end>150</end>
      <status>unmodified</status>
      <modifiedWord/>
      <trackRevisions>false</trackRevisions>
    </reviewItem>
  </reviewItems>
  <config/>
</contractReview>
</file>

<file path=customXml/itemProps1.xml><?xml version="1.0" encoding="utf-8"?>
<ds:datastoreItem xmlns:ds="http://schemas.openxmlformats.org/officeDocument/2006/customXml" ds:itemID="{56ecc4a8-fa00-439d-baa1-55e7964709ba}">
  <ds:schemaRefs/>
</ds:datastoreItem>
</file>

<file path=docProps/app.xml><?xml version="1.0" encoding="utf-8"?>
<Properties xmlns="http://schemas.openxmlformats.org/officeDocument/2006/extended-properties" xmlns:vt="http://schemas.openxmlformats.org/officeDocument/2006/docPropsVTypes">
  <Pages>13</Pages>
  <Words>5336</Words>
  <Characters>5861</Characters>
  <TotalTime>3</TotalTime>
  <ScaleCrop>false</ScaleCrop>
  <LinksUpToDate>false</LinksUpToDate>
  <CharactersWithSpaces>5868</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2026-08-19T11:52:00Z</dcterms:created>
  <dc:creator>Lenovo</dc:creator>
  <cp:lastModifiedBy>雨。</cp:lastModifiedBy>
  <cp:lastPrinted>2026-08-28T03:35:00Z</cp:lastPrinted>
  <dcterms:modified xsi:type="dcterms:W3CDTF">2026-08-29T13:27:02Z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B06E135E3A4D4E1CA1F316BB2C95CE16_12</vt:lpwstr>
  </property>
  <property fmtid="{D5CDD505-2E9C-101B-9397-08002B2CF9AE}" pid="4" name="KSOTemplateDocerSaveRecord">
    <vt:lpwstr>eyJoZGlkIjoiODFkN2IxNDhjZjg5NmQ2NGM2MDc2OTFlNWI4MDU2NDUiLCJ1c2VySWQiOiI2NzcwNzU0ODgifQ==</vt:lpwstr>
  </property>
</Properties>
</file>