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84BE8">
      <w:pPr>
        <w:widowControl/>
        <w:spacing w:before="0" w:beforeLines="0" w:beforeAutospacing="0" w:after="0" w:afterLines="0" w:afterAutospacing="0" w:line="240" w:lineRule="auto"/>
        <w:jc w:val="left"/>
        <w:rPr>
          <w:rFonts w:ascii="宋体" w:eastAsia="宋体"/>
          <w:sz w:val="32"/>
          <w:szCs w:val="32"/>
        </w:rPr>
      </w:pPr>
    </w:p>
    <w:p w14:paraId="0B009AEF">
      <w:pPr>
        <w:widowControl/>
        <w:spacing w:before="0" w:beforeLines="0" w:beforeAutospacing="0" w:after="0" w:afterLines="0" w:afterAutospacing="0" w:line="240" w:lineRule="auto"/>
        <w:jc w:val="left"/>
        <w:rPr>
          <w:rFonts w:ascii="宋体" w:eastAsia="宋体"/>
          <w:sz w:val="44"/>
          <w:szCs w:val="44"/>
        </w:rPr>
      </w:pPr>
    </w:p>
    <w:p w14:paraId="15163407">
      <w:pPr>
        <w:widowControl/>
        <w:spacing w:before="0" w:beforeLines="0" w:beforeAutospacing="0" w:after="0" w:afterLines="0" w:afterAutospacing="0" w:line="240" w:lineRule="auto"/>
        <w:jc w:val="left"/>
        <w:rPr>
          <w:rFonts w:ascii="宋体" w:eastAsia="宋体"/>
          <w:sz w:val="44"/>
          <w:szCs w:val="44"/>
        </w:rPr>
      </w:pPr>
    </w:p>
    <w:p w14:paraId="367E491F">
      <w:pPr>
        <w:widowControl/>
        <w:spacing w:before="0" w:beforeLines="0" w:beforeAutospacing="0" w:after="0" w:afterLines="0" w:afterAutospacing="0" w:line="240" w:lineRule="auto"/>
        <w:jc w:val="left"/>
        <w:rPr>
          <w:rFonts w:ascii="宋体" w:eastAsia="宋体"/>
          <w:sz w:val="44"/>
          <w:szCs w:val="44"/>
        </w:rPr>
      </w:pPr>
    </w:p>
    <w:p w14:paraId="6633205D">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新疆林业科学院现代林业研究所</w:t>
      </w:r>
    </w:p>
    <w:p w14:paraId="70D4B70E">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492E2792">
      <w:pPr>
        <w:widowControl/>
      </w:pPr>
      <w:r>
        <w:rPr>
          <w:b w:val="0"/>
          <w:sz w:val="0"/>
          <w:szCs w:val="0"/>
        </w:rPr>
        <w:br w:type="page"/>
      </w:r>
    </w:p>
    <w:p w14:paraId="601886B3">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1BDE794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164CC8E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263A60A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5B89829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6977C2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33E32A1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7A3C5C9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2522A2D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7322F22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1E6056A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508AF0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51AA548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70EFFDC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5A54669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554E7C4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499D63F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462C104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69887B3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3E1FACB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0FA818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4D35448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10ED4FC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56AC722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3998510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6DBB4C8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1D2CF59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B5A46F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6B918E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2333A53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513FC59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0CF3674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02A8453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7571D14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3DD626C7">
      <w:pPr>
        <w:widowControl/>
      </w:pPr>
      <w:r>
        <w:rPr>
          <w:b w:val="0"/>
          <w:sz w:val="0"/>
          <w:szCs w:val="0"/>
        </w:rPr>
        <w:br w:type="page"/>
      </w:r>
    </w:p>
    <w:p w14:paraId="498FB9C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5ABDFAD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7668BE25">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1.承担现代林业新技术研究及现代林业发展理论，林业宏观发展政策、战略及宏观布局研究；</w:t>
      </w:r>
    </w:p>
    <w:p w14:paraId="5D9DD22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2.承担森林碳汇、生物质能源、林业宏观经济、林业宏观监测体系及方法研究等工作。</w:t>
      </w:r>
    </w:p>
    <w:p w14:paraId="288D6F5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767FD61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新疆林业科学院现代林业研究所无下属预算单位。</w:t>
      </w:r>
    </w:p>
    <w:p w14:paraId="1728A3B5">
      <w:pPr>
        <w:widowControl/>
      </w:pPr>
      <w:r>
        <w:rPr>
          <w:b w:val="0"/>
          <w:sz w:val="0"/>
          <w:szCs w:val="0"/>
        </w:rPr>
        <w:br w:type="page"/>
      </w:r>
    </w:p>
    <w:p w14:paraId="6D65C2B7">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1811EFB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208D18F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2025年度收入总计1,620.45万元，其中：本年收入合计894.36万元，使用非财政拨款结余（含专用结余）0.00万元，年初结转和结余726.09万元。</w:t>
      </w:r>
    </w:p>
    <w:p w14:paraId="17B29FA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2025年度支出总计1,620.45万元，其中：本年支出合计1,408.31万元，结余分配0.00万元，年末结转和结余212.14万元。</w:t>
      </w:r>
    </w:p>
    <w:p w14:paraId="666BA23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749.81万元，下降31.63%，主要原因是：本年度在职人员减少，相关人员经费较上年减少，本年度重点研发-林果气象灾害机理与风险预警技术项目资金减少，因此收入支出总体较上年下降。</w:t>
      </w:r>
    </w:p>
    <w:p w14:paraId="495A4FA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64CB939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本年收入894.36万元，其中：财政拨款收入401.95万元,占44.94%；上级补助收入0.00万元,占0.00%；事业收入490.22万元，占54.81%；经营收入0.00万元,占0.00%；附属单位上缴收入0.00万元，占0.00%；其他收入2.19万元，占0.24%。</w:t>
      </w:r>
    </w:p>
    <w:p w14:paraId="0502DF9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58558FF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本年支出1,408.31万元，其中：基本支出346.13万元，占24.58%；项目支出1,062.17万元，占75.42%；上缴上级支出0.00万元，占0.00%；经营支出0.00万元，占0.00%；对附属单位补助支出0.00万元，占0.00%。</w:t>
      </w:r>
    </w:p>
    <w:p w14:paraId="0E3B906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0B712A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2025年度财政拨款收入总计401.95万元，其中：年初财政拨款结转和结余0.00万元，本年财政拨款收入401.95万元。财政拨款支出总计401.95万元，其中：年末财政拨款结转和结余0.00万元，本年财政拨款支出401.95万元。</w:t>
      </w:r>
    </w:p>
    <w:p w14:paraId="5DC062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7.07万元，下降1.73%，主要原因是：本年度在职人员减少，相应的人员经费较上年减少。与年初预算相比，年初预算数349.79万元，决算数401.95万元，预决算差异率14.91%，主要原因是：</w:t>
      </w:r>
      <w:r>
        <w:rPr>
          <w:rFonts w:hint="eastAsia" w:ascii="仿宋_GB2312" w:eastAsia="仿宋_GB2312"/>
          <w:b w:val="0"/>
          <w:sz w:val="32"/>
          <w:szCs w:val="32"/>
        </w:rPr>
        <w:t>年中追加人员工资、社保、公积金基数调增部分资金及做实2025年职业年金</w:t>
      </w:r>
      <w:r>
        <w:rPr>
          <w:rFonts w:ascii="仿宋_GB2312" w:eastAsia="仿宋_GB2312"/>
          <w:b w:val="0"/>
          <w:sz w:val="32"/>
          <w:szCs w:val="32"/>
        </w:rPr>
        <w:t>，导致预决算有差异。</w:t>
      </w:r>
    </w:p>
    <w:p w14:paraId="131D6B5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48847AC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val="en-US" w:eastAsia="zh-CN"/>
        </w:rPr>
        <w:t>机构运行、公共服务</w:t>
      </w:r>
      <w:r>
        <w:rPr>
          <w:rFonts w:ascii="仿宋_GB2312" w:eastAsia="仿宋_GB2312"/>
          <w:b w:val="0"/>
          <w:sz w:val="32"/>
          <w:szCs w:val="32"/>
        </w:rPr>
        <w:t>等重点支出，体现在有关支出科目中。</w:t>
      </w:r>
    </w:p>
    <w:p w14:paraId="7833C78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按照支出功能分类，（类）（款）机构运行（项）的支出占本年财政拨款支出总额的比重最高，2025年度决算数为343.95万元，占比85.57%，主要用于</w:t>
      </w:r>
      <w:r>
        <w:rPr>
          <w:rFonts w:hint="eastAsia" w:ascii="仿宋_GB2312" w:eastAsia="仿宋_GB2312"/>
          <w:b w:val="0"/>
          <w:sz w:val="32"/>
          <w:szCs w:val="32"/>
          <w:lang w:val="en-US" w:eastAsia="zh-CN"/>
        </w:rPr>
        <w:t>人员工资福利、日常公用经费</w:t>
      </w:r>
      <w:r>
        <w:rPr>
          <w:rFonts w:ascii="仿宋_GB2312" w:eastAsia="仿宋_GB2312"/>
          <w:b w:val="0"/>
          <w:sz w:val="32"/>
          <w:szCs w:val="32"/>
        </w:rPr>
        <w:t>。</w:t>
      </w:r>
    </w:p>
    <w:p w14:paraId="2D816EEF">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06D6EED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401.95万元，占本年支出合计的28.54%。与上年相比，减少7.07万元，下降1.73%，主要原因是：本年度在职人员减少，相应的人员经费减少。与年初预算相比，年初预算数349.79万元，决算数401.95万元，预决算差异率14.91%，主要原因是：</w:t>
      </w:r>
      <w:r>
        <w:rPr>
          <w:rFonts w:hint="eastAsia" w:ascii="仿宋_GB2312" w:eastAsia="仿宋_GB2312"/>
          <w:b w:val="0"/>
          <w:sz w:val="32"/>
          <w:szCs w:val="32"/>
        </w:rPr>
        <w:t>年中追加人员工资、社保、公积金基数调增部分资金及做实2025年职业年金</w:t>
      </w:r>
      <w:r>
        <w:rPr>
          <w:rFonts w:ascii="仿宋_GB2312" w:eastAsia="仿宋_GB2312"/>
          <w:b w:val="0"/>
          <w:sz w:val="32"/>
          <w:szCs w:val="32"/>
        </w:rPr>
        <w:t>，导致预决算有差异。</w:t>
      </w:r>
    </w:p>
    <w:p w14:paraId="7A451E12">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252A4E5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1.科学技术支出（类）343.95万元，占85.57%。</w:t>
      </w:r>
    </w:p>
    <w:p w14:paraId="7CC0B50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2.农林水支出（类）58.00万元，占14.43%。</w:t>
      </w:r>
    </w:p>
    <w:p w14:paraId="6AD9783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2CC86A6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eastAsia="zh-CN"/>
        </w:rPr>
        <w:t>.</w:t>
      </w:r>
      <w:r>
        <w:rPr>
          <w:rFonts w:ascii="仿宋_GB2312" w:eastAsia="仿宋_GB2312"/>
          <w:b w:val="0"/>
          <w:sz w:val="32"/>
          <w:szCs w:val="32"/>
        </w:rPr>
        <w:t>科学技术支出（类）基础研究（款）科技人才队伍建设（项）：支出决算数为0.00万元，比上年决算减少8.82万元，下降100.00%，主要原因是：上年度墨玉县林果提质增效实用技术集成示范推广项目已按项目周期完成实施，本年度无此类项目支出安排，因此支出较上年减少。</w:t>
      </w:r>
    </w:p>
    <w:p w14:paraId="5E8BDAB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科学技术支出（类）应用研究（款）机构运行（项）：支出决算数为343.95万元，比上年决算增加35.92万元，增长11.66%，主要原因是：</w:t>
      </w:r>
      <w:r>
        <w:rPr>
          <w:rFonts w:hint="eastAsia" w:ascii="仿宋_GB2312" w:eastAsia="仿宋_GB2312"/>
          <w:b w:val="0"/>
          <w:sz w:val="32"/>
          <w:szCs w:val="32"/>
        </w:rPr>
        <w:t>一是本年在职人员工资调增，社保、公积金基数调增，人员经费增加；二是根据政策要求，本年在职人员职业年金做实，职业年金缴费较上年增加</w:t>
      </w:r>
      <w:r>
        <w:rPr>
          <w:rFonts w:ascii="仿宋_GB2312" w:eastAsia="仿宋_GB2312"/>
          <w:b w:val="0"/>
          <w:sz w:val="32"/>
          <w:szCs w:val="32"/>
        </w:rPr>
        <w:t>。</w:t>
      </w:r>
    </w:p>
    <w:p w14:paraId="3928076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eastAsia="zh-CN"/>
        </w:rPr>
        <w:t>.</w:t>
      </w:r>
      <w:r>
        <w:rPr>
          <w:rFonts w:ascii="仿宋_GB2312" w:eastAsia="仿宋_GB2312"/>
          <w:b w:val="0"/>
          <w:sz w:val="32"/>
          <w:szCs w:val="32"/>
        </w:rPr>
        <w:t>科学技术支出（类）科技条件与服务（款）其他科技条件与服务支出（项）：支出决算数为0.00万元，比上年决算减少2.17万元，下降100.00%，主要原因是：上年度三区科技人才支持计划项目已按项目周期完成实施，本年度无此类项目支出安排，因此支出较上年减少。</w:t>
      </w:r>
    </w:p>
    <w:p w14:paraId="0401221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农林水支出（类）林业和草原（款）技术推广与转化（项）：支出决算数为58.00万元，比上年决算减少12.00万元，下降17.14%，主要原因是：</w:t>
      </w:r>
      <w:r>
        <w:rPr>
          <w:rFonts w:hint="eastAsia" w:ascii="仿宋_GB2312" w:eastAsia="仿宋_GB2312"/>
          <w:b w:val="0"/>
          <w:sz w:val="32"/>
          <w:szCs w:val="32"/>
        </w:rPr>
        <w:t>本年较上年减少</w:t>
      </w:r>
      <w:r>
        <w:rPr>
          <w:rFonts w:ascii="仿宋_GB2312" w:eastAsia="仿宋_GB2312"/>
          <w:b w:val="0"/>
          <w:sz w:val="32"/>
          <w:szCs w:val="32"/>
        </w:rPr>
        <w:t>自治区林业草原保护与发展基金科技转化与推广项目。</w:t>
      </w:r>
    </w:p>
    <w:p w14:paraId="19366A7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农林水支出（类）林业和草原（款）其他林业和草原支出（项）：支出决算数为0.00万元，比上年决算减少20.00万元，下降100.00%，主要原因是：</w:t>
      </w:r>
      <w:r>
        <w:rPr>
          <w:rFonts w:hint="eastAsia" w:ascii="仿宋_GB2312" w:eastAsia="仿宋_GB2312"/>
          <w:b w:val="0"/>
          <w:sz w:val="32"/>
          <w:szCs w:val="32"/>
        </w:rPr>
        <w:t>本年功能科目调整</w:t>
      </w:r>
      <w:r>
        <w:rPr>
          <w:rFonts w:hint="eastAsia" w:ascii="仿宋_GB2312" w:eastAsia="仿宋_GB2312"/>
          <w:b w:val="0"/>
          <w:sz w:val="32"/>
          <w:szCs w:val="32"/>
          <w:lang w:eastAsia="zh-CN"/>
        </w:rPr>
        <w:t>，</w:t>
      </w:r>
      <w:r>
        <w:rPr>
          <w:rFonts w:ascii="仿宋_GB2312" w:eastAsia="仿宋_GB2312"/>
          <w:b w:val="0"/>
          <w:sz w:val="32"/>
          <w:szCs w:val="32"/>
        </w:rPr>
        <w:t>自治区林业草原改革发展资金-跟随式果树智能喷涂机研制项目</w:t>
      </w:r>
      <w:r>
        <w:rPr>
          <w:rFonts w:hint="eastAsia" w:ascii="仿宋_GB2312" w:eastAsia="仿宋_GB2312"/>
          <w:b w:val="0"/>
          <w:sz w:val="32"/>
          <w:szCs w:val="32"/>
          <w:lang w:eastAsia="zh-CN"/>
        </w:rPr>
        <w:t>从</w:t>
      </w:r>
      <w:r>
        <w:rPr>
          <w:rFonts w:ascii="仿宋_GB2312" w:eastAsia="仿宋_GB2312"/>
          <w:b w:val="0"/>
          <w:sz w:val="32"/>
          <w:szCs w:val="32"/>
        </w:rPr>
        <w:t>其他林业和草原支出</w:t>
      </w:r>
      <w:r>
        <w:rPr>
          <w:rFonts w:hint="eastAsia" w:ascii="仿宋_GB2312" w:eastAsia="仿宋_GB2312"/>
          <w:b w:val="0"/>
          <w:sz w:val="32"/>
          <w:szCs w:val="32"/>
          <w:lang w:eastAsia="zh-CN"/>
        </w:rPr>
        <w:t>科目</w:t>
      </w:r>
      <w:r>
        <w:rPr>
          <w:rFonts w:ascii="仿宋_GB2312" w:eastAsia="仿宋_GB2312"/>
          <w:b w:val="0"/>
          <w:sz w:val="32"/>
          <w:szCs w:val="32"/>
        </w:rPr>
        <w:t>调整</w:t>
      </w:r>
      <w:r>
        <w:rPr>
          <w:rFonts w:hint="eastAsia" w:ascii="仿宋_GB2312" w:eastAsia="仿宋_GB2312"/>
          <w:b w:val="0"/>
          <w:sz w:val="32"/>
          <w:szCs w:val="32"/>
          <w:lang w:eastAsia="zh-CN"/>
        </w:rPr>
        <w:t>至</w:t>
      </w:r>
      <w:r>
        <w:rPr>
          <w:rFonts w:ascii="仿宋_GB2312" w:eastAsia="仿宋_GB2312"/>
          <w:b w:val="0"/>
          <w:sz w:val="32"/>
          <w:szCs w:val="32"/>
        </w:rPr>
        <w:t>技术推广与转化科目，</w:t>
      </w:r>
      <w:r>
        <w:rPr>
          <w:rFonts w:hint="eastAsia" w:ascii="仿宋_GB2312" w:eastAsia="仿宋_GB2312"/>
          <w:b w:val="0"/>
          <w:sz w:val="32"/>
          <w:szCs w:val="32"/>
          <w:lang w:eastAsia="zh-CN"/>
        </w:rPr>
        <w:t>导致经费</w:t>
      </w:r>
      <w:r>
        <w:rPr>
          <w:rFonts w:ascii="仿宋_GB2312" w:eastAsia="仿宋_GB2312"/>
          <w:b w:val="0"/>
          <w:sz w:val="32"/>
          <w:szCs w:val="32"/>
        </w:rPr>
        <w:t>较上年减少。</w:t>
      </w:r>
    </w:p>
    <w:p w14:paraId="575E608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3A4189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343.95万元，其中：人员经费321.49万元，包括：基本工资、津贴补贴、奖金、绩效工资、机关事业单位基本养老保险缴费、职业年金缴费、职工基本医疗保险缴费、公务员医疗补助缴费、其他社会保障缴费、住房公积金、退休费和其他对个人和家庭的补助。</w:t>
      </w:r>
    </w:p>
    <w:p w14:paraId="4EF4ECE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公用经费22.46万元，包括：办公费、印刷费、水费、电费、邮电费、取暖费、差旅费、维修（护）费、专用材料费、委托业务费、工会经费、福利费和税金及附加费用。</w:t>
      </w:r>
    </w:p>
    <w:p w14:paraId="0748436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51E6C1E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24BE07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7862506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0F60827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409231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我单位2024年度与2025年度均未安排“三公”经费支出。其中：因公出国（境）费用支出0.00万元,占0.00%，与上年相比无变化，主要原因是：我单位2024年度与2025年度均未安排因公出国（境）费支出；公务用车购置及运行维护费支出0.00万元，占0.00%，与上年相比无变化，主要原因是：我单位2024年度与2025年度均未安排公务用车购置及运行维护费支出；公务接待费支出0.00万元，占0.00%，与上年相比无变化，主要原因是：我单位2024年度与2025年度均未安排公务接待费支出。</w:t>
      </w:r>
    </w:p>
    <w:p w14:paraId="54249EC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1E933D1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rPr>
        <w:t>本单位无因公出国（境）费用</w:t>
      </w:r>
      <w:r>
        <w:rPr>
          <w:rFonts w:ascii="仿宋_GB2312" w:eastAsia="仿宋_GB2312"/>
          <w:b w:val="0"/>
          <w:sz w:val="32"/>
          <w:szCs w:val="32"/>
        </w:rPr>
        <w:t>。单位全年安排的因公出国（境）团组0个，因公出国（境）0人次。</w:t>
      </w:r>
    </w:p>
    <w:p w14:paraId="122A634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rPr>
        <w:t>本单位无公务用车运行维护费</w:t>
      </w:r>
      <w:r>
        <w:rPr>
          <w:rFonts w:ascii="仿宋_GB2312" w:eastAsia="仿宋_GB2312"/>
          <w:b w:val="0"/>
          <w:sz w:val="32"/>
          <w:szCs w:val="32"/>
        </w:rPr>
        <w:t>。公务用车购置数0辆，公务用车保有量0辆。国有资产占用情况中固定资产车辆0辆，与公务用车保有量差异原因是：我单位无车辆，因此公务用车保有量无差异。</w:t>
      </w:r>
    </w:p>
    <w:p w14:paraId="05E63FC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rPr>
        <w:t>本单位无公务接待费</w:t>
      </w:r>
      <w:r>
        <w:rPr>
          <w:rFonts w:ascii="仿宋_GB2312" w:eastAsia="仿宋_GB2312"/>
          <w:b w:val="0"/>
          <w:sz w:val="32"/>
          <w:szCs w:val="32"/>
        </w:rPr>
        <w:t>。单位全年安排的国内公务接待0批次，0人次。</w:t>
      </w:r>
    </w:p>
    <w:p w14:paraId="1EFE3E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rPr>
        <w:t>本单位无财政拨款“三公”经费</w:t>
      </w:r>
      <w:r>
        <w:rPr>
          <w:rFonts w:ascii="仿宋_GB2312" w:eastAsia="仿宋_GB2312"/>
          <w:b w:val="0"/>
          <w:sz w:val="32"/>
          <w:szCs w:val="32"/>
        </w:rPr>
        <w:t>。其中：因公出国（境）费用全年预算数0.00万元，决算数0.00万元，预决算差异率0.00%，主要原因是：</w:t>
      </w:r>
      <w:r>
        <w:rPr>
          <w:rFonts w:hint="eastAsia" w:ascii="仿宋_GB2312" w:eastAsia="仿宋_GB2312"/>
          <w:b w:val="0"/>
          <w:sz w:val="32"/>
          <w:szCs w:val="32"/>
        </w:rPr>
        <w:t>本单位无因公出国（境）费用</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rPr>
        <w:t>本单位无公务用车购置费</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b w:val="0"/>
          <w:sz w:val="32"/>
          <w:szCs w:val="32"/>
        </w:rPr>
        <w:t>本单位无公务用车运行维护费</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rPr>
        <w:t>本单位无公务接待费</w:t>
      </w:r>
      <w:r>
        <w:rPr>
          <w:rFonts w:ascii="仿宋_GB2312" w:eastAsia="仿宋_GB2312"/>
          <w:b w:val="0"/>
          <w:sz w:val="32"/>
          <w:szCs w:val="32"/>
        </w:rPr>
        <w:t>。</w:t>
      </w:r>
    </w:p>
    <w:p w14:paraId="70C4050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1787B02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18A870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林业科学院现代林业研究所（事业单位）公用经费支出22.46万元，比上年增加2.57万元，增长12.92%，主要原因是：本年度业务量增加，相应的单位办公运行、差旅费等支出增加，因此公用经费支出较上年增加。</w:t>
      </w:r>
    </w:p>
    <w:p w14:paraId="0B648C84">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0889708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2025年度政府采购支出总额2.11万元，其中：政府采购货物支出2.11万元、政府采购工程支出0.00万元、政府采购服务支出0.00万元。</w:t>
      </w:r>
    </w:p>
    <w:p w14:paraId="111A88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授予中小企业合同金额2.11万元，占政府采购支出总额的100.00%，其中：授予小微企业合同金额2.11万元，占政府采购支出总额的100.00%。</w:t>
      </w:r>
    </w:p>
    <w:p w14:paraId="009FA33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5297E74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0台（套）。</w:t>
      </w:r>
    </w:p>
    <w:p w14:paraId="1F84D5D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1424E4E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根据预算绩效管理要求，本单位2025年度预算绩效评价项目1个，全年预算数1,319.48万元，全年执行数1,31</w:t>
      </w:r>
      <w:bookmarkStart w:id="0" w:name="_GoBack"/>
      <w:bookmarkEnd w:id="0"/>
      <w:r>
        <w:rPr>
          <w:rFonts w:ascii="仿宋_GB2312" w:eastAsia="仿宋_GB2312"/>
          <w:b w:val="0"/>
          <w:sz w:val="32"/>
          <w:szCs w:val="32"/>
        </w:rPr>
        <w:t>9.48万元。预算绩效管理取得的成效：一是按照绩效目标高效、高质量完成各项工作内容；二是能够及时发现问题并及时调整各项工作内容。发现的问题及原因：一是前期绩效目标不够细致；二是没有考虑到项目实施可能遇到变量。下一步改进措施：一是完善预算绩效管理基础工作，做细各项绩效指标；二是继续提升预算绩效管理的深度和广度，全面考虑项目实施各项因素。具体附项目支出绩效自评表。</w:t>
      </w:r>
    </w:p>
    <w:p w14:paraId="48F1261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287B056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397EB566">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4FEEEDC">
      <w:pPr>
        <w:widowControl/>
      </w:pPr>
      <w:r>
        <w:rPr>
          <w:b w:val="0"/>
          <w:sz w:val="0"/>
          <w:szCs w:val="0"/>
        </w:rPr>
        <w:br w:type="page"/>
      </w:r>
    </w:p>
    <w:p w14:paraId="11973D62">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6DCE4F1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5320F79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52E06B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2A92E56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6D7647C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56BE6E3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21DAB9B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6CC39AA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10A175D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1FF1072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3275C3B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6510BFF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EF385B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50DC017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470C4A74">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3EE8324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BECBC1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50BA4EEE">
      <w:pPr>
        <w:widowControl/>
      </w:pPr>
      <w:r>
        <w:rPr>
          <w:b w:val="0"/>
          <w:sz w:val="0"/>
          <w:szCs w:val="0"/>
        </w:rPr>
        <w:br w:type="page"/>
      </w:r>
    </w:p>
    <w:p w14:paraId="069BFFB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2252F46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43D4695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66C5624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17F3776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2E7AFB7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24849DE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04D99AA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974216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4611B7A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8DD2671"/>
    <w:rsid w:val="18A87AC5"/>
    <w:rsid w:val="2BBA2BD0"/>
    <w:rsid w:val="302C29DE"/>
    <w:rsid w:val="34FF6671"/>
    <w:rsid w:val="35F152D0"/>
    <w:rsid w:val="47FD2969"/>
    <w:rsid w:val="4DAB32C3"/>
    <w:rsid w:val="530222EF"/>
    <w:rsid w:val="69541E69"/>
    <w:rsid w:val="6E0B1AC6"/>
    <w:rsid w:val="6E674159"/>
    <w:rsid w:val="794F5B1D"/>
    <w:rsid w:val="796573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d2180618-52ba-4069-8590-d201b274d42a</errorID>
      <errorWord>，</errorWord>
      <group>L1_Punc</group>
      <groupName>标点问题</groupName>
      <ability>L2_Punc_CN</ability>
      <abilityName>标点符号问题</abilityName>
      <candidateList>
        <item>、</item>
      </candidateList>
      <explain/>
      <paraID>1B69BFF7</paraID>
      <start>22</start>
      <end>23</end>
      <status>unmodified</status>
      <modifiedWord/>
      <trackRevisions>false</trackRevisions>
    </reviewItem>
    <reviewItem>
      <errorID>10a0cc96-a8ad-4709-b9a7-8eefd41577fe</errorID>
      <errorWord>-</errorWord>
      <group>L1_Format</group>
      <groupName>格式问题</groupName>
      <ability>L2_HalfPunc_CN</ability>
      <abilityName>全半角问题</abilityName>
      <candidateList>
        <item>－</item>
      </candidateList>
      <explain>文本全半角错误。</explain>
      <paraID>6485637D</paraID>
      <start>67</start>
      <end>68</end>
      <status>unmodified</status>
      <modifiedWord/>
      <trackRevisions>false</trackRevisions>
    </reviewItem>
    <reviewItem>
      <errorID>d12d4aab-d18d-4fd1-8a1e-52b5d30f840d</errorID>
      <errorWord>,</errorWord>
      <group>L1_Format</group>
      <groupName>格式问题</groupName>
      <ability>L2_HalfPunc_CN</ability>
      <abilityName>全半角问题</abilityName>
      <candidateList>
        <item>，</item>
      </candidateList>
      <explain>文本全半角错误。</explain>
      <paraID>220B2D87</paraID>
      <start>30</start>
      <end>31</end>
      <status>unmodified</status>
      <modifiedWord/>
      <trackRevisions>false</trackRevisions>
    </reviewItem>
    <reviewItem>
      <errorID>d6ca443d-2c1b-415f-8d88-9349b857c803</errorID>
      <errorWord>,</errorWord>
      <group>L1_Format</group>
      <groupName>格式问题</groupName>
      <ability>L2_HalfPunc_CN</ability>
      <abilityName>全半角问题</abilityName>
      <candidateList>
        <item>，</item>
      </candidateList>
      <explain>文本全半角错误。</explain>
      <paraID>220B2D87</paraID>
      <start>51</start>
      <end>52</end>
      <status>unmodified</status>
      <modifiedWord/>
      <trackRevisions>false</trackRevisions>
    </reviewItem>
    <reviewItem>
      <errorID>de0d1e6e-94b7-4fcb-8efc-4005b1f00d54</errorID>
      <errorWord>,</errorWord>
      <group>L1_Format</group>
      <groupName>格式问题</groupName>
      <ability>L2_HalfPunc_CN</ability>
      <abilityName>全半角问题</abilityName>
      <candidateList>
        <item>，</item>
      </candidateList>
      <explain>文本全半角错误。</explain>
      <paraID>220B2D87</paraID>
      <start>90</start>
      <end>91</end>
      <status>unmodified</status>
      <modifiedWord/>
      <trackRevisions>false</trackRevisions>
    </reviewItem>
    <reviewItem>
      <errorID>94a9649e-a4b7-4d1b-b009-7ff70e005d31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21EA1CBC</paraID>
      <start>0</start>
      <end>2</end>
      <status>unmodified</status>
      <modifiedWord/>
      <trackRevisions>false</trackRevisions>
    </reviewItem>
    <reviewItem>
      <errorID>befade80-1237-4d4a-a4ee-91ccee62eaf2</errorID>
      <errorWord>2、</errorWord>
      <group>L1_Format</group>
      <groupName>格式问题</groupName>
      <ability>L2_Ordinal</ability>
      <abilityName>序号格式</abilityName>
      <candidateList>
        <item>2.</item>
      </candidateList>
      <explain>标题顺序错误，请检查标题顺序是否合理。</explain>
      <paraID>52B0A7CA</paraID>
      <start>0</start>
      <end>2</end>
      <status>unmodified</status>
      <modifiedWord/>
      <trackRevisions>false</trackRevisions>
    </reviewItem>
    <reviewItem>
      <errorID>fff14093-326a-40d7-96e2-b355627571ad</errorID>
      <errorWord>3、</errorWord>
      <group>L1_Format</group>
      <groupName>格式问题</groupName>
      <ability>L2_Ordinal</ability>
      <abilityName>序号格式</abilityName>
      <candidateList>
        <item>3.</item>
      </candidateList>
      <explain>标题顺序错误，请检查标题顺序是否合理。</explain>
      <paraID> 342E523</paraID>
      <start>0</start>
      <end>2</end>
      <status>unmodified</status>
      <modifiedWord/>
      <trackRevisions>false</trackRevisions>
    </reviewItem>
    <reviewItem>
      <errorID>d241f67b-169e-4b2d-a91c-f094948163c9</errorID>
      <errorWord>4、</errorWord>
      <group>L1_Format</group>
      <groupName>格式问题</groupName>
      <ability>L2_Ordinal</ability>
      <abilityName>序号格式</abilityName>
      <candidateList>
        <item>4.</item>
      </candidateList>
      <explain>标题顺序错误，请检查标题顺序是否合理。</explain>
      <paraID>5DF054A3</paraID>
      <start>0</start>
      <end>2</end>
      <status>unmodified</status>
      <modifiedWord/>
      <trackRevisions>false</trackRevisions>
    </reviewItem>
    <reviewItem>
      <errorID>2fa482b9-c1ea-4419-94b5-7ed124d27ac8</errorID>
      <errorWord>5、</errorWord>
      <group>L1_Format</group>
      <groupName>格式问题</groupName>
      <ability>L2_Ordinal</ability>
      <abilityName>序号格式</abilityName>
      <candidateList>
        <item>5.</item>
      </candidateList>
      <explain>标题顺序错误，请检查标题顺序是否合理。</explain>
      <paraID>650750FA</paraID>
      <start>0</start>
      <end>2</end>
      <status>unmodified</status>
      <modifiedWord/>
      <trackRevisions>false</trackRevisions>
    </reviewItem>
    <reviewItem>
      <errorID>e978d630-b47a-4467-b600-58abad694da2</errorID>
      <errorWord>-</errorWord>
      <group>L1_Format</group>
      <groupName>格式问题</groupName>
      <ability>L2_HalfPunc_CN</ability>
      <abilityName>全半角问题</abilityName>
      <candidateList>
        <item>－</item>
      </candidateList>
      <explain>文本全半角错误。</explain>
      <paraID>650750FA</paraID>
      <start>91</start>
      <end>92</end>
      <status>unmodified</status>
      <modifiedWord/>
      <trackRevisions>false</trackRevisions>
    </reviewItem>
    <reviewItem>
      <errorID>dbdf786d-a607-41fa-ba72-7ec8c5fcdb00</errorID>
      <errorWord>,</errorWord>
      <group>L1_Punc</group>
      <groupName>标点问题</groupName>
      <ability>L2_Punc_CN</ability>
      <abilityName>标点符号问题</abilityName>
      <candidateList>
        <item>，</item>
      </candidateList>
      <explain/>
      <paraID> A1F4E92</paraID>
      <start>89</start>
      <end>90</end>
      <status>unmodified</status>
      <modifiedWord/>
      <trackRevisions>false</trackRevisions>
    </reviewItem>
    <reviewItem>
      <errorID>f2a8d4c1-9c14-4cc1-b198-3c9c403a3a40</errorID>
      <errorWord>；</errorWord>
      <group>L1_Punc</group>
      <groupName>标点问题</groupName>
      <ability>L2_Punc_CN</ability>
      <abilityName>标点符号问题</abilityName>
      <candidateList>
        <item>。</item>
      </candidateList>
      <explain/>
      <paraID> A1F4E92</paraID>
      <start>142</start>
      <end>143</end>
      <status>unmodified</status>
      <modifiedWord/>
      <trackRevisions>false</trackRevisions>
    </reviewItem>
    <reviewItem>
      <errorID>cde278db-f48e-4a19-aee9-13bb812ab392</errorID>
      <errorWord>公务用车购置及</errorWord>
      <group>L1_Political</group>
      <groupName>政治性问题</groupName>
      <ability>L2_Keyword</ability>
      <abilityName>固定表述</abilityName>
      <candidateList>
        <item>公务用车</item>
      </candidateList>
      <explain>此处内容疑似含有固定表述相关错误，建议核查。</explain>
      <paraID>23D76D44</paraID>
      <start>74</start>
      <end>81</end>
      <status>unmodified</status>
      <modifiedWord/>
      <trackRevisions>false</trackRevisions>
    </reviewItem>
    <reviewItem>
      <errorID>df2b255c-6e5d-4ba7-bcc2-d30aab766af7</errorID>
      <errorWord>，</errorWord>
      <group>L1_Grammar</group>
      <groupName>语法问题</groupName>
      <ability>L2_Grammar</ability>
      <abilityName>语法错误</abilityName>
      <candidateList>
        <item>标准，</item>
      </candidateList>
      <explain/>
      <paraID>23D76D44</paraID>
      <start>86</start>
      <end>87</end>
      <status>unmodified</status>
      <modifiedWord/>
      <trackRevisions>false</trackRevisions>
    </reviewItem>
    <reviewItem>
      <errorID>4da8e837-041a-4f8d-a8f3-b5bb81d436d3</errorID>
      <errorWord>，</errorWord>
      <group>L1_Grammar</group>
      <groupName>语法问题</groupName>
      <ability>L2_Grammar</ability>
      <abilityName>语法错误</abilityName>
      <candidateList>
        <item>标准，</item>
      </candidateList>
      <explain/>
      <paraID>4DFB38C4</paraID>
      <start>30</start>
      <end>31</end>
      <status>unmodified</status>
      <modifiedWord/>
      <trackRevisions>false</trackRevisions>
    </reviewItem>
    <reviewItem>
      <errorID>ff2058b6-5a2e-415f-8483-9087ff9902a9</errorID>
      <errorWord>;</errorWord>
      <group>L1_Format</group>
      <groupName>格式问题</groupName>
      <ability>L2_HalfPunc_CN</ability>
      <abilityName>全半角问题</abilityName>
      <candidateList>
        <item>；</item>
      </candidateList>
      <explain>文本全半角错误。</explain>
      <paraID>1B0341B4</paraID>
      <start>149</start>
      <end>150</end>
      <status>unmodified</status>
      <modifiedWord/>
      <trackRevisions>false</trackRevisions>
    </reviewItem>
  </reviewItems>
  <config/>
</contractReview>
</file>

<file path=customXml/itemProps1.xml><?xml version="1.0" encoding="utf-8"?>
<ds:datastoreItem xmlns:ds="http://schemas.openxmlformats.org/officeDocument/2006/customXml" ds:itemID="{0788f684-ca03-494d-b414-70ba97563a4a}">
  <ds:schemaRefs/>
</ds:datastoreItem>
</file>

<file path=docProps/app.xml><?xml version="1.0" encoding="utf-8"?>
<Properties xmlns="http://schemas.openxmlformats.org/officeDocument/2006/extended-properties" xmlns:vt="http://schemas.openxmlformats.org/officeDocument/2006/docPropsVTypes">
  <Pages>13</Pages>
  <Words>5277</Words>
  <Characters>5856</Characters>
  <TotalTime>7</TotalTime>
  <ScaleCrop>false</ScaleCrop>
  <LinksUpToDate>false</LinksUpToDate>
  <CharactersWithSpaces>5863</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2026-08-20T03:46:00Z</dcterms:created>
  <dc:creator>Lenovo</dc:creator>
  <cp:lastModifiedBy>雨。</cp:lastModifiedBy>
  <dcterms:modified xsi:type="dcterms:W3CDTF">2026-08-29T13:30:41Z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eyJoZGlkIjoiYTZjZThjMDFjYjU0NDRjYWE1YjFlZmFjNmU0NDBiYTgiLCJ1c2VySWQiOiI0NjExNzA3OTgifQ==</vt:lpwstr>
  </property>
  <property fmtid="{D5CDD505-2E9C-101B-9397-08002B2CF9AE}" pid="3" name="KSOProductBuildVer">
    <vt:lpwstr>2052-12.1.0.18608</vt:lpwstr>
  </property>
  <property fmtid="{D5CDD505-2E9C-101B-9397-08002B2CF9AE}" pid="4" name="ICV">
    <vt:lpwstr>C7E81841EC394F4FB171E01AC0E7EC40_12</vt:lpwstr>
  </property>
</Properties>
</file>