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C81CB4">
      <w:pPr>
        <w:widowControl/>
        <w:spacing w:before="0" w:beforeLines="0" w:beforeAutospacing="0" w:after="0" w:afterLines="0" w:afterAutospacing="0" w:line="240" w:lineRule="auto"/>
        <w:jc w:val="left"/>
        <w:rPr>
          <w:rFonts w:ascii="宋体" w:eastAsia="宋体"/>
          <w:sz w:val="32"/>
          <w:szCs w:val="32"/>
        </w:rPr>
      </w:pPr>
    </w:p>
    <w:p w14:paraId="7EDEE5F9">
      <w:pPr>
        <w:widowControl/>
        <w:spacing w:before="0" w:beforeLines="0" w:beforeAutospacing="0" w:after="0" w:afterLines="0" w:afterAutospacing="0" w:line="240" w:lineRule="auto"/>
        <w:jc w:val="left"/>
        <w:rPr>
          <w:rFonts w:ascii="宋体" w:eastAsia="宋体"/>
          <w:sz w:val="44"/>
          <w:szCs w:val="44"/>
        </w:rPr>
      </w:pPr>
    </w:p>
    <w:p w14:paraId="778E7287">
      <w:pPr>
        <w:widowControl/>
        <w:spacing w:before="0" w:beforeLines="0" w:beforeAutospacing="0" w:after="0" w:afterLines="0" w:afterAutospacing="0" w:line="240" w:lineRule="auto"/>
        <w:jc w:val="left"/>
        <w:rPr>
          <w:rFonts w:ascii="宋体" w:eastAsia="宋体"/>
          <w:sz w:val="44"/>
          <w:szCs w:val="44"/>
        </w:rPr>
      </w:pPr>
    </w:p>
    <w:p w14:paraId="21180832">
      <w:pPr>
        <w:widowControl/>
        <w:spacing w:before="0" w:beforeLines="0" w:beforeAutospacing="0" w:after="0" w:afterLines="0" w:afterAutospacing="0" w:line="240" w:lineRule="auto"/>
        <w:jc w:val="left"/>
        <w:rPr>
          <w:rFonts w:ascii="宋体" w:eastAsia="宋体"/>
          <w:sz w:val="44"/>
          <w:szCs w:val="44"/>
        </w:rPr>
      </w:pPr>
    </w:p>
    <w:p w14:paraId="38F5434C">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新疆林科院经济林研究所</w:t>
      </w:r>
    </w:p>
    <w:p w14:paraId="254C8281">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2025年度部门决算公开说明</w:t>
      </w:r>
    </w:p>
    <w:p w14:paraId="006B98B1">
      <w:pPr>
        <w:widowControl/>
      </w:pPr>
      <w:r>
        <w:rPr>
          <w:b w:val="0"/>
          <w:sz w:val="0"/>
          <w:szCs w:val="0"/>
        </w:rPr>
        <w:br w:type="page"/>
      </w:r>
    </w:p>
    <w:p w14:paraId="50129889">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14:paraId="2E76190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14:paraId="56C2545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14:paraId="1F0250B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w:t>
      </w:r>
    </w:p>
    <w:p w14:paraId="76C4193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14:paraId="008CF6C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14:paraId="517E7CF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14:paraId="7334CE3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14:paraId="7A41FF8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14:paraId="4DC982A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14:paraId="08720E8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14:paraId="2CE1C05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14:paraId="2C25DA4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14:paraId="5C3DB4F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14:paraId="43D1E62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14:paraId="4F8B5AD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0BF10FA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14:paraId="591BC75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14:paraId="6CA856D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14:paraId="74BEEBA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14:paraId="33157C8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14:paraId="670BA5A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14:paraId="2C072E6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14:paraId="080EB86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14:paraId="170FCEC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14:paraId="0486493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14:paraId="6EE2FB9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14:paraId="7812876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14:paraId="78DACA6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14:paraId="48930A8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14:paraId="03D3D6C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14:paraId="429D0C2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14:paraId="12D4D87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14:paraId="4935629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14:paraId="3A290C88">
      <w:pPr>
        <w:widowControl/>
      </w:pPr>
      <w:r>
        <w:rPr>
          <w:b w:val="0"/>
          <w:sz w:val="0"/>
          <w:szCs w:val="0"/>
        </w:rPr>
        <w:br w:type="page"/>
      </w:r>
    </w:p>
    <w:p w14:paraId="12708CC7">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14:paraId="1635B6DC">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14:paraId="74B2EE9C">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hint="eastAsia" w:ascii="仿宋_GB2312" w:eastAsia="仿宋_GB2312"/>
          <w:b w:val="0"/>
          <w:sz w:val="32"/>
          <w:szCs w:val="32"/>
          <w:lang w:eastAsia="zh-CN"/>
        </w:rPr>
        <w:t>1.</w:t>
      </w:r>
      <w:bookmarkStart w:id="0" w:name="_GoBack"/>
      <w:bookmarkEnd w:id="0"/>
      <w:r>
        <w:rPr>
          <w:rFonts w:ascii="仿宋_GB2312" w:eastAsia="仿宋_GB2312"/>
          <w:b w:val="0"/>
          <w:sz w:val="32"/>
          <w:szCs w:val="32"/>
        </w:rPr>
        <w:t>为适合新疆栽培发展的名、特、优经济林树种的良种选育、繁殖及丰产栽培技术的研究。</w:t>
      </w:r>
    </w:p>
    <w:p w14:paraId="504267D1">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hint="eastAsia" w:ascii="仿宋_GB2312" w:eastAsia="仿宋_GB2312"/>
          <w:b w:val="0"/>
          <w:sz w:val="32"/>
          <w:szCs w:val="32"/>
          <w:lang w:eastAsia="zh-CN"/>
        </w:rPr>
        <w:t>2.</w:t>
      </w:r>
      <w:r>
        <w:rPr>
          <w:rFonts w:ascii="仿宋_GB2312" w:eastAsia="仿宋_GB2312"/>
          <w:b w:val="0"/>
          <w:sz w:val="32"/>
          <w:szCs w:val="32"/>
        </w:rPr>
        <w:t>经济林果品的保鲜储藏、加工利用技术研究。</w:t>
      </w:r>
    </w:p>
    <w:p w14:paraId="24DE71D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eastAsia="zh-CN"/>
        </w:rPr>
        <w:t>3.</w:t>
      </w:r>
      <w:r>
        <w:rPr>
          <w:rFonts w:ascii="仿宋_GB2312" w:eastAsia="仿宋_GB2312"/>
          <w:b w:val="0"/>
          <w:sz w:val="32"/>
          <w:szCs w:val="32"/>
        </w:rPr>
        <w:t>承担经济林建设工程的规划、设计及技术指导；为新疆林果业发展提供科技支撑和科技服务。</w:t>
      </w:r>
    </w:p>
    <w:p w14:paraId="7BDA9E35">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w:t>
      </w:r>
    </w:p>
    <w:p w14:paraId="5DCD605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新疆林科院经济林研究所无下属预算单位。</w:t>
      </w:r>
    </w:p>
    <w:p w14:paraId="4E6E8B0E">
      <w:pPr>
        <w:widowControl/>
      </w:pPr>
      <w:r>
        <w:rPr>
          <w:b w:val="0"/>
          <w:sz w:val="0"/>
          <w:szCs w:val="0"/>
        </w:rPr>
        <w:br w:type="page"/>
      </w:r>
    </w:p>
    <w:p w14:paraId="33916214">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14:paraId="0AD81BD4">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14:paraId="6D3F9BA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2025年度收入总计2,061.35万元，其中：本年收入合计1,508.72万元，使用非财政拨款结余（含专用结余）0.00万元，年初结转和结余552.62万元。</w:t>
      </w:r>
    </w:p>
    <w:p w14:paraId="13FCBE5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2025年度支出总计2,061.35万元，其中：本年支出合计1,564.78万元，结余分配0.00万元，年末结转和结余496.56万元。</w:t>
      </w:r>
    </w:p>
    <w:p w14:paraId="6B613BF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收入支出总体与上年相比，减少174.37万元，下降7.80%，主要原因是：本年度在职人员减少，相关人员经费较上年减少，本年度新疆核桃焦叶症发生的监测与预警技术研究项目资金减少。</w:t>
      </w:r>
    </w:p>
    <w:p w14:paraId="6F074447">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14:paraId="61D4D4B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1,508.72万元，其中：财政拨款收入1,261.54万元,占83.62%；上级补助收入0.00万元,占0.00%；事业收入246.64万元，占16.35%；经营收入0.00万元,占0.00%；附属单位上缴收入0.00万元，占0.00%；其他收入0.54万元，占0.04%。</w:t>
      </w:r>
    </w:p>
    <w:p w14:paraId="7AC52B67">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14:paraId="4E00A64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本年支出1,564.78万元，其中：基本支出711.46万元，占45.47%；项目支出853.32万元，占54.53%；上缴上级支出0.00万元，占0.00%；经营支出0.00万元，占0.00%；对附属单位补助支出0.00万元，占0.00%。</w:t>
      </w:r>
    </w:p>
    <w:p w14:paraId="57837A3C">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14:paraId="6956B40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收入总计1,261.54万元，其中：年初财政拨款结转和结余0.00万元，本年财政拨款收入1,261.54万元。财政拨款支出总计1,261.54万元，其中：年末财政拨款结转和结余0.00万元，本年财政拨款支出1,261.54万元。</w:t>
      </w:r>
    </w:p>
    <w:p w14:paraId="3301C9D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财政拨款收入支出总体与上年相比，增加31.40万元，增长2.55%，主要原因是：</w:t>
      </w:r>
      <w:r>
        <w:rPr>
          <w:rFonts w:hint="eastAsia" w:ascii="仿宋_GB2312" w:eastAsia="仿宋_GB2312"/>
          <w:b w:val="0"/>
          <w:sz w:val="32"/>
          <w:szCs w:val="32"/>
        </w:rPr>
        <w:t>根据政策要求，本年在职人员职业年金做实，职业年金缴费较上年增加</w:t>
      </w:r>
      <w:r>
        <w:rPr>
          <w:rFonts w:ascii="仿宋_GB2312" w:eastAsia="仿宋_GB2312"/>
          <w:b w:val="0"/>
          <w:sz w:val="32"/>
          <w:szCs w:val="32"/>
        </w:rPr>
        <w:t>。与年初预算相比，年初预算数780.47万元，决算数1,261.54万元，预决算差异率61.64%，主要原因是：</w:t>
      </w:r>
      <w:r>
        <w:rPr>
          <w:rFonts w:hint="eastAsia" w:ascii="仿宋_GB2312" w:eastAsia="仿宋_GB2312"/>
          <w:b w:val="0"/>
          <w:sz w:val="32"/>
          <w:szCs w:val="32"/>
        </w:rPr>
        <w:t>年中追加人员工资、社保、公积金基数调增部分资金及做实2025年职业年金，年中追加核桃产业技术体系项目等，</w:t>
      </w:r>
      <w:r>
        <w:rPr>
          <w:rFonts w:ascii="仿宋_GB2312" w:eastAsia="仿宋_GB2312"/>
          <w:b w:val="0"/>
          <w:sz w:val="32"/>
          <w:szCs w:val="32"/>
        </w:rPr>
        <w:t>导致预决算有差异。</w:t>
      </w:r>
    </w:p>
    <w:p w14:paraId="2F337661">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14:paraId="631E1B2F">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w:t>
      </w:r>
      <w:r>
        <w:rPr>
          <w:rFonts w:hint="eastAsia" w:ascii="仿宋_GB2312" w:eastAsia="仿宋_GB2312"/>
          <w:b w:val="0"/>
          <w:sz w:val="32"/>
          <w:szCs w:val="32"/>
          <w:lang w:val="en-US" w:eastAsia="zh-CN"/>
        </w:rPr>
        <w:t>机构运行、公共服务</w:t>
      </w:r>
      <w:r>
        <w:rPr>
          <w:rFonts w:ascii="仿宋_GB2312" w:eastAsia="仿宋_GB2312"/>
          <w:b w:val="0"/>
          <w:sz w:val="32"/>
          <w:szCs w:val="32"/>
        </w:rPr>
        <w:t>等重点支出，体现在有关支出科目中。</w:t>
      </w:r>
    </w:p>
    <w:p w14:paraId="1F7CD30C">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按照支出功能分类，（类）（款）机构运行（项）的支出占本年财政拨款支出总额的比重最高，2025年度决算数为710.92万元，占比56.35%，主要用于</w:t>
      </w:r>
      <w:r>
        <w:rPr>
          <w:rFonts w:hint="eastAsia" w:ascii="仿宋_GB2312" w:eastAsia="仿宋_GB2312"/>
          <w:b w:val="0"/>
          <w:sz w:val="32"/>
          <w:szCs w:val="32"/>
          <w:lang w:val="en-US" w:eastAsia="zh-CN"/>
        </w:rPr>
        <w:t>人员工资福利、日常公用经费</w:t>
      </w:r>
      <w:r>
        <w:rPr>
          <w:rFonts w:ascii="仿宋_GB2312" w:eastAsia="仿宋_GB2312"/>
          <w:b w:val="0"/>
          <w:sz w:val="32"/>
          <w:szCs w:val="32"/>
        </w:rPr>
        <w:t>。</w:t>
      </w:r>
    </w:p>
    <w:p w14:paraId="6E6C4BA6">
      <w:pPr>
        <w:widowControl/>
        <w:spacing w:before="0" w:beforeLines="0" w:beforeAutospacing="0" w:after="0" w:afterLines="0" w:afterAutospacing="0" w:line="240" w:lineRule="auto"/>
        <w:ind w:firstLine="640" w:firstLineChars="200"/>
        <w:jc w:val="both"/>
        <w:outlineLvl w:val="2"/>
        <w:rPr>
          <w:rFonts w:ascii="黑体" w:eastAsia="黑体"/>
          <w:sz w:val="32"/>
          <w:szCs w:val="32"/>
        </w:rPr>
      </w:pPr>
      <w:r>
        <w:rPr>
          <w:rFonts w:ascii="黑体" w:eastAsia="黑体"/>
          <w:b w:val="0"/>
          <w:sz w:val="32"/>
          <w:szCs w:val="32"/>
        </w:rPr>
        <w:t>（一）一般公共预算财政拨款支出决算总体情况</w:t>
      </w:r>
    </w:p>
    <w:p w14:paraId="00E483D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2025年度一般公共预算财政拨款支出1,261.54万元，占本年支出合计的80.62%。与上年相比，增加31.40万元，增长2.55%，主要原因是：</w:t>
      </w:r>
      <w:r>
        <w:rPr>
          <w:rFonts w:hint="eastAsia" w:ascii="仿宋_GB2312" w:eastAsia="仿宋_GB2312"/>
          <w:b w:val="0"/>
          <w:sz w:val="32"/>
          <w:szCs w:val="32"/>
        </w:rPr>
        <w:t>根据政策要求，本年在职人员职业年金做实，职业年金缴费较上年增加</w:t>
      </w:r>
      <w:r>
        <w:rPr>
          <w:rFonts w:ascii="仿宋_GB2312" w:eastAsia="仿宋_GB2312"/>
          <w:b w:val="0"/>
          <w:sz w:val="32"/>
          <w:szCs w:val="32"/>
        </w:rPr>
        <w:t>。与年初预算相比，年初预算数780.47万元，决算数1,261.54万元，预决算差异率61.64%，主要原因是：</w:t>
      </w:r>
      <w:r>
        <w:rPr>
          <w:rFonts w:hint="eastAsia" w:ascii="仿宋_GB2312" w:eastAsia="仿宋_GB2312"/>
          <w:b w:val="0"/>
          <w:sz w:val="32"/>
          <w:szCs w:val="32"/>
        </w:rPr>
        <w:t>年中追加人员工资、社保、公积金基数调增部分资金及做实2025年职业年金，年中追加核桃产业技术体系项目等</w:t>
      </w:r>
      <w:r>
        <w:rPr>
          <w:rFonts w:ascii="仿宋_GB2312" w:eastAsia="仿宋_GB2312"/>
          <w:b w:val="0"/>
          <w:sz w:val="32"/>
          <w:szCs w:val="32"/>
        </w:rPr>
        <w:t>，导致预决算有差异。</w:t>
      </w:r>
    </w:p>
    <w:p w14:paraId="4CD80BF7">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14:paraId="367082E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1.科学技术支出（类）801.54万元，占63.54%。</w:t>
      </w:r>
    </w:p>
    <w:p w14:paraId="5D9213B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2.农林水支出（类）460.00万元，占36.46%。</w:t>
      </w:r>
    </w:p>
    <w:p w14:paraId="1496AD23">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14:paraId="07160212">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w:t>
      </w:r>
      <w:r>
        <w:rPr>
          <w:rFonts w:hint="eastAsia" w:ascii="仿宋_GB2312" w:eastAsia="仿宋_GB2312"/>
          <w:b w:val="0"/>
          <w:sz w:val="32"/>
          <w:szCs w:val="32"/>
          <w:lang w:eastAsia="zh-CN"/>
        </w:rPr>
        <w:t>.</w:t>
      </w:r>
      <w:r>
        <w:rPr>
          <w:rFonts w:ascii="仿宋_GB2312" w:eastAsia="仿宋_GB2312"/>
          <w:b w:val="0"/>
          <w:sz w:val="32"/>
          <w:szCs w:val="32"/>
        </w:rPr>
        <w:t>科学技术支出（类）基础研究（款）科技人才队伍建设（项）：支出决算数为90.62万元，比上年决算减少34.76万元，下降27.72%，主要原因是：</w:t>
      </w:r>
      <w:r>
        <w:rPr>
          <w:rFonts w:hint="eastAsia" w:ascii="仿宋_GB2312" w:eastAsia="仿宋_GB2312"/>
          <w:b w:val="0"/>
          <w:sz w:val="32"/>
          <w:szCs w:val="32"/>
          <w:highlight w:val="none"/>
        </w:rPr>
        <w:t>本年核桃种质创新与轻简高效栽培技术创新团队项目资金较上年减少</w:t>
      </w:r>
      <w:r>
        <w:rPr>
          <w:rFonts w:ascii="仿宋_GB2312" w:eastAsia="仿宋_GB2312"/>
          <w:b w:val="0"/>
          <w:sz w:val="32"/>
          <w:szCs w:val="32"/>
        </w:rPr>
        <w:t>。</w:t>
      </w:r>
    </w:p>
    <w:p w14:paraId="08C94B26">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w:t>
      </w:r>
      <w:r>
        <w:rPr>
          <w:rFonts w:hint="eastAsia" w:ascii="仿宋_GB2312" w:eastAsia="仿宋_GB2312"/>
          <w:b w:val="0"/>
          <w:sz w:val="32"/>
          <w:szCs w:val="32"/>
          <w:lang w:eastAsia="zh-CN"/>
        </w:rPr>
        <w:t>.</w:t>
      </w:r>
      <w:r>
        <w:rPr>
          <w:rFonts w:ascii="仿宋_GB2312" w:eastAsia="仿宋_GB2312"/>
          <w:b w:val="0"/>
          <w:sz w:val="32"/>
          <w:szCs w:val="32"/>
        </w:rPr>
        <w:t>科学技术支出（类）应用研究（款）机构运行（项）：支出决算数为710.92万元，比上年决算增加82.04万元，增长13.05%，主要原因是：</w:t>
      </w:r>
      <w:r>
        <w:rPr>
          <w:rFonts w:hint="eastAsia" w:ascii="仿宋_GB2312" w:eastAsia="仿宋_GB2312"/>
          <w:b w:val="0"/>
          <w:sz w:val="32"/>
          <w:szCs w:val="32"/>
        </w:rPr>
        <w:t>一是本年在职人员工资调增，社保和公积金缴存基数提高，人员经费增加；二是根据政策要求，本年在职人员职业年金做实，职业年金缴费较上年增加</w:t>
      </w:r>
      <w:r>
        <w:rPr>
          <w:rFonts w:ascii="仿宋_GB2312" w:eastAsia="仿宋_GB2312"/>
          <w:b w:val="0"/>
          <w:sz w:val="32"/>
          <w:szCs w:val="32"/>
        </w:rPr>
        <w:t>。</w:t>
      </w:r>
    </w:p>
    <w:p w14:paraId="5EBB1F96">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w:t>
      </w:r>
      <w:r>
        <w:rPr>
          <w:rFonts w:hint="eastAsia" w:ascii="仿宋_GB2312" w:eastAsia="仿宋_GB2312"/>
          <w:b w:val="0"/>
          <w:sz w:val="32"/>
          <w:szCs w:val="32"/>
          <w:lang w:eastAsia="zh-CN"/>
        </w:rPr>
        <w:t>.</w:t>
      </w:r>
      <w:r>
        <w:rPr>
          <w:rFonts w:ascii="仿宋_GB2312" w:eastAsia="仿宋_GB2312"/>
          <w:b w:val="0"/>
          <w:sz w:val="32"/>
          <w:szCs w:val="32"/>
        </w:rPr>
        <w:t>科学技术支出（类）科技条件与服务（款）其他科技条件与服务支出（项）：支出决算数为0.00万元，比上年决算减少9.60万元，下降100.00%，主要原因是：上年度中央三区科技人才支持计划项目已按周期完成实施，本年度不再安排此类项目支出，因此较上年减少。</w:t>
      </w:r>
    </w:p>
    <w:p w14:paraId="1ED3B799">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w:t>
      </w:r>
      <w:r>
        <w:rPr>
          <w:rFonts w:hint="eastAsia" w:ascii="仿宋_GB2312" w:eastAsia="仿宋_GB2312"/>
          <w:b w:val="0"/>
          <w:sz w:val="32"/>
          <w:szCs w:val="32"/>
          <w:lang w:eastAsia="zh-CN"/>
        </w:rPr>
        <w:t>.</w:t>
      </w:r>
      <w:r>
        <w:rPr>
          <w:rFonts w:ascii="仿宋_GB2312" w:eastAsia="仿宋_GB2312"/>
          <w:b w:val="0"/>
          <w:sz w:val="32"/>
          <w:szCs w:val="32"/>
        </w:rPr>
        <w:t>农林水支出（类）农业农村（款）科技转化与推广服务（项）：支出决算数为0.00万元，比上年决算减少17.00万元，下降100.00%，主要原因是：上年度自治区林业草原保护与发展基金科技转化与推广项目已按周期完成实施，本年度不再安排此类项目支出，因此较上年减少。</w:t>
      </w:r>
    </w:p>
    <w:p w14:paraId="4D31923F">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w:t>
      </w:r>
      <w:r>
        <w:rPr>
          <w:rFonts w:hint="eastAsia" w:ascii="仿宋_GB2312" w:eastAsia="仿宋_GB2312"/>
          <w:b w:val="0"/>
          <w:sz w:val="32"/>
          <w:szCs w:val="32"/>
          <w:lang w:eastAsia="zh-CN"/>
        </w:rPr>
        <w:t>.</w:t>
      </w:r>
      <w:r>
        <w:rPr>
          <w:rFonts w:ascii="仿宋_GB2312" w:eastAsia="仿宋_GB2312"/>
          <w:b w:val="0"/>
          <w:sz w:val="32"/>
          <w:szCs w:val="32"/>
        </w:rPr>
        <w:t>农林水支出（类）林业和草原（款）森林资源培育（项）：支出决算数为30.00万元，比上年决算增加30.00万元，增长100.00%，主要原因是：本年度新增新疆杏种质资源表型性状鉴定及指纹图谱构建项目，因此该类项目支出数较上年增加。</w:t>
      </w:r>
    </w:p>
    <w:p w14:paraId="4EBA6D4D">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6</w:t>
      </w:r>
      <w:r>
        <w:rPr>
          <w:rFonts w:hint="eastAsia" w:ascii="仿宋_GB2312" w:eastAsia="仿宋_GB2312"/>
          <w:b w:val="0"/>
          <w:sz w:val="32"/>
          <w:szCs w:val="32"/>
          <w:lang w:eastAsia="zh-CN"/>
        </w:rPr>
        <w:t>.</w:t>
      </w:r>
      <w:r>
        <w:rPr>
          <w:rFonts w:ascii="仿宋_GB2312" w:eastAsia="仿宋_GB2312"/>
          <w:b w:val="0"/>
          <w:sz w:val="32"/>
          <w:szCs w:val="32"/>
        </w:rPr>
        <w:t>农林水支出（类）林业和草原（款）技术推广与转化（项）：支出决算数为430.00万元，比上年决算增加45.72万元，增长11.90%，主要原因是：本年新疆阿克苏森林生态系统观测项目</w:t>
      </w:r>
      <w:r>
        <w:rPr>
          <w:rFonts w:hint="eastAsia" w:ascii="仿宋_GB2312" w:eastAsia="仿宋_GB2312"/>
          <w:b w:val="0"/>
          <w:sz w:val="32"/>
          <w:szCs w:val="32"/>
          <w:lang w:eastAsia="zh-CN"/>
        </w:rPr>
        <w:t>资金较上年增加</w:t>
      </w:r>
      <w:r>
        <w:rPr>
          <w:rFonts w:ascii="仿宋_GB2312" w:eastAsia="仿宋_GB2312"/>
          <w:b w:val="0"/>
          <w:sz w:val="32"/>
          <w:szCs w:val="32"/>
        </w:rPr>
        <w:t>。</w:t>
      </w:r>
    </w:p>
    <w:p w14:paraId="195E351F">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7</w:t>
      </w:r>
      <w:r>
        <w:rPr>
          <w:rFonts w:hint="eastAsia" w:ascii="仿宋_GB2312" w:eastAsia="仿宋_GB2312"/>
          <w:b w:val="0"/>
          <w:sz w:val="32"/>
          <w:szCs w:val="32"/>
          <w:lang w:eastAsia="zh-CN"/>
        </w:rPr>
        <w:t>.</w:t>
      </w:r>
      <w:r>
        <w:rPr>
          <w:rFonts w:ascii="仿宋_GB2312" w:eastAsia="仿宋_GB2312"/>
          <w:b w:val="0"/>
          <w:sz w:val="32"/>
          <w:szCs w:val="32"/>
        </w:rPr>
        <w:t>农林水支出（类）林业和草原（款）其他林业和草原支出（项）：支出决算数为0.00万元，比上年决算减少65.00万元，下降100.00%，主要原因是：上年度林业草原发展专项基金项目已按周期完成实施，本年度不再安排该类项目支出，因此较上年减少。</w:t>
      </w:r>
    </w:p>
    <w:p w14:paraId="0AE35730">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14:paraId="0F4CFBD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基本支出710.92万元，其中：人员经费665.10万元，包括：基本工资、津贴补贴、奖金、机关事业单位基本养老保险缴费、职业年金缴费、职工基本医疗保险缴费、公务员医疗补助缴费、其他社会保障缴费、住房公积金、退休费、抚恤金和其他对个人和家庭的补助。</w:t>
      </w:r>
    </w:p>
    <w:p w14:paraId="0E2BB8A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公用经费45.82万元，包括：办公费、手续费、水费、电费、邮电费、取暖费、差旅费、专用材料费、劳务费、委托业务费、工会经费、福利费、其他交通费用、税金及附加费用和其他商品和服务支出。</w:t>
      </w:r>
    </w:p>
    <w:p w14:paraId="059516DE">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14:paraId="1B7BDD4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54844431">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14:paraId="555EA74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6622C1B9">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14:paraId="7DB7057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三公”经费支出0.00万元，与上年相比无变化，主要原因是：我单位2024年度与2025年度均未安排“三公”经费支出。其中：因公出国（境）费用支出0.00万元,占0.00%，与上年相比无变化，主要原因是：我单位2024年度与2025年度均未安排因公出国（境）费支出；公务用车购置及运行维护费支出0.00万元，占0.00%，与上年相比无变化，主要原因是：我单位2024年度与2025年度均未安排公务用车购置及运行维护费支出；公务接待费支出0.00万元，占0.00%，与上年相比无变化，主要原因是：我单位2024年度与2025年度均未安排公务接待费支出。</w:t>
      </w:r>
    </w:p>
    <w:p w14:paraId="4A929ECD">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14:paraId="6858ECF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因公出国（境）费用0.00万元，开支内容包括</w:t>
      </w:r>
      <w:r>
        <w:rPr>
          <w:rFonts w:hint="eastAsia" w:ascii="仿宋_GB2312" w:eastAsia="仿宋_GB2312"/>
          <w:b w:val="0"/>
          <w:sz w:val="32"/>
          <w:szCs w:val="32"/>
        </w:rPr>
        <w:t>本单位无因公出国（境）费用</w:t>
      </w:r>
      <w:r>
        <w:rPr>
          <w:rFonts w:ascii="仿宋_GB2312" w:eastAsia="仿宋_GB2312"/>
          <w:b w:val="0"/>
          <w:sz w:val="32"/>
          <w:szCs w:val="32"/>
        </w:rPr>
        <w:t>。单位全年安排的因公出国（境）团组0个，因公出国（境）0人次。</w:t>
      </w:r>
    </w:p>
    <w:p w14:paraId="4EDF6F5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公务用车购置及运行维护费0.00万元，其中：公务用车购置费0.00万元，公务用车运行维护费0.00万元。公务用车运行维护费开支内容包括</w:t>
      </w:r>
      <w:r>
        <w:rPr>
          <w:rFonts w:hint="eastAsia" w:ascii="仿宋_GB2312" w:eastAsia="仿宋_GB2312"/>
          <w:b w:val="0"/>
          <w:sz w:val="32"/>
          <w:szCs w:val="32"/>
        </w:rPr>
        <w:t>本单位无公务用车运行维护费</w:t>
      </w:r>
      <w:r>
        <w:rPr>
          <w:rFonts w:ascii="仿宋_GB2312" w:eastAsia="仿宋_GB2312"/>
          <w:b w:val="0"/>
          <w:sz w:val="32"/>
          <w:szCs w:val="32"/>
        </w:rPr>
        <w:t>。公务用车购置数0辆，公务用车保有量0辆。国有资产占用情况中固定资产车辆1辆，与公务用车保有量差异原因是：</w:t>
      </w:r>
      <w:r>
        <w:rPr>
          <w:rFonts w:hint="eastAsia" w:ascii="仿宋_GB2312" w:eastAsia="仿宋_GB2312"/>
          <w:b w:val="0"/>
          <w:sz w:val="32"/>
          <w:szCs w:val="32"/>
        </w:rPr>
        <w:t>本单位车辆</w:t>
      </w:r>
      <w:r>
        <w:rPr>
          <w:rFonts w:hint="eastAsia" w:ascii="仿宋_GB2312" w:eastAsia="仿宋_GB2312"/>
          <w:b w:val="0"/>
          <w:sz w:val="32"/>
          <w:szCs w:val="32"/>
          <w:lang w:val="en-US" w:eastAsia="zh-CN"/>
        </w:rPr>
        <w:t>借用</w:t>
      </w:r>
      <w:r>
        <w:rPr>
          <w:rFonts w:hint="eastAsia" w:ascii="仿宋_GB2312" w:eastAsia="仿宋_GB2312"/>
          <w:b w:val="0"/>
          <w:sz w:val="32"/>
          <w:szCs w:val="32"/>
        </w:rPr>
        <w:t>新疆维吾尔自治区林业科学院使用，车辆费用由使用单位支付</w:t>
      </w:r>
      <w:r>
        <w:rPr>
          <w:rFonts w:ascii="仿宋_GB2312" w:eastAsia="仿宋_GB2312"/>
          <w:b w:val="0"/>
          <w:sz w:val="32"/>
          <w:szCs w:val="32"/>
        </w:rPr>
        <w:t>。</w:t>
      </w:r>
    </w:p>
    <w:p w14:paraId="7EB09D9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eastAsia="仿宋_GB2312"/>
          <w:b w:val="0"/>
          <w:sz w:val="32"/>
          <w:szCs w:val="32"/>
        </w:rPr>
        <w:t>本单位无公务接待费</w:t>
      </w:r>
      <w:r>
        <w:rPr>
          <w:rFonts w:ascii="仿宋_GB2312" w:eastAsia="仿宋_GB2312"/>
          <w:b w:val="0"/>
          <w:sz w:val="32"/>
          <w:szCs w:val="32"/>
        </w:rPr>
        <w:t>。单位全年安排的国内公务接待0批次，0人次。</w:t>
      </w:r>
    </w:p>
    <w:p w14:paraId="75602D6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与全年预算相比，财政拨款“三公”经费支出全年预算数0.00万元，决算数0.00万元，预决算差异率0.00%，主要原因是：</w:t>
      </w:r>
      <w:r>
        <w:rPr>
          <w:rFonts w:hint="eastAsia" w:ascii="仿宋_GB2312" w:eastAsia="仿宋_GB2312"/>
          <w:b w:val="0"/>
          <w:sz w:val="32"/>
          <w:szCs w:val="32"/>
          <w:lang w:val="en-US" w:eastAsia="zh-CN"/>
        </w:rPr>
        <w:t>本单位无财政拨款</w:t>
      </w:r>
      <w:r>
        <w:rPr>
          <w:rFonts w:ascii="仿宋_GB2312" w:eastAsia="仿宋_GB2312"/>
          <w:b w:val="0"/>
          <w:sz w:val="32"/>
          <w:szCs w:val="32"/>
        </w:rPr>
        <w:t>“三公”经费支出。其中：因公出国（境）费用全年预算数0.00万元，决算数0.00万元，预决算差异率0.00%，主要原因是：</w:t>
      </w:r>
      <w:r>
        <w:rPr>
          <w:rFonts w:hint="eastAsia" w:ascii="仿宋_GB2312" w:eastAsia="仿宋_GB2312"/>
          <w:b w:val="0"/>
          <w:sz w:val="32"/>
          <w:szCs w:val="32"/>
          <w:lang w:val="en-US" w:eastAsia="zh-CN"/>
        </w:rPr>
        <w:t>本单位无</w:t>
      </w:r>
      <w:r>
        <w:rPr>
          <w:rFonts w:ascii="仿宋_GB2312" w:eastAsia="仿宋_GB2312"/>
          <w:b w:val="0"/>
          <w:sz w:val="32"/>
          <w:szCs w:val="32"/>
        </w:rPr>
        <w:t>因公出国（境）费支出；公务用车购置费全年预算数0.00万元，决算数0.00万元，预决算差异率0.00%，主要原因是：</w:t>
      </w:r>
      <w:r>
        <w:rPr>
          <w:rFonts w:hint="eastAsia" w:ascii="仿宋_GB2312" w:eastAsia="仿宋_GB2312"/>
          <w:b w:val="0"/>
          <w:sz w:val="32"/>
          <w:szCs w:val="32"/>
          <w:lang w:val="en-US" w:eastAsia="zh-CN"/>
        </w:rPr>
        <w:t>本单位无</w:t>
      </w:r>
      <w:r>
        <w:rPr>
          <w:rFonts w:ascii="仿宋_GB2312" w:eastAsia="仿宋_GB2312"/>
          <w:b w:val="0"/>
          <w:sz w:val="32"/>
          <w:szCs w:val="32"/>
        </w:rPr>
        <w:t>公务用车购置费支出；公务用车运行维护费全年预算数0.00万元，决算数0.00万元，预决算差异率0.00%，主要原因是：</w:t>
      </w:r>
      <w:r>
        <w:rPr>
          <w:rFonts w:hint="eastAsia" w:ascii="仿宋_GB2312" w:eastAsia="仿宋_GB2312"/>
          <w:b w:val="0"/>
          <w:sz w:val="32"/>
          <w:szCs w:val="32"/>
          <w:lang w:val="en-US" w:eastAsia="zh-CN"/>
        </w:rPr>
        <w:t>本单位无</w:t>
      </w:r>
      <w:r>
        <w:rPr>
          <w:rFonts w:ascii="仿宋_GB2312" w:eastAsia="仿宋_GB2312"/>
          <w:b w:val="0"/>
          <w:sz w:val="32"/>
          <w:szCs w:val="32"/>
        </w:rPr>
        <w:t>公务用车运行维护费支出；公务接待费全年预算数0.00万元，决算数0.00万元，预决算差异率0.00%，主要原因是：</w:t>
      </w:r>
      <w:r>
        <w:rPr>
          <w:rFonts w:hint="eastAsia" w:ascii="仿宋_GB2312" w:eastAsia="仿宋_GB2312"/>
          <w:b w:val="0"/>
          <w:sz w:val="32"/>
          <w:szCs w:val="32"/>
          <w:lang w:val="en-US" w:eastAsia="zh-CN"/>
        </w:rPr>
        <w:t>本单位无</w:t>
      </w:r>
      <w:r>
        <w:rPr>
          <w:rFonts w:ascii="仿宋_GB2312" w:eastAsia="仿宋_GB2312"/>
          <w:b w:val="0"/>
          <w:sz w:val="32"/>
          <w:szCs w:val="32"/>
        </w:rPr>
        <w:t>安排公务接待费支出。</w:t>
      </w:r>
    </w:p>
    <w:p w14:paraId="52A64B0F">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14:paraId="28053482">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14:paraId="54A9D7C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新疆林科院经济林研究所（事业单位）公用经费支出45.82万元，比上年增加5.26万元，增长12.97%，主要原因是：本年度更新、维护办公用品，业务量增加，相应的单位办公运行、差旅等支出据实增加，导致公用经费支出较上年增加。</w:t>
      </w:r>
    </w:p>
    <w:p w14:paraId="76500103">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14:paraId="2F8D519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2025年度政府采购支出总额0.20万元，其中：政府采购货物支出0.20万元、政府采购工程支出0.00万元、政府采购服务支出0.00万元。</w:t>
      </w:r>
    </w:p>
    <w:p w14:paraId="5A7D1CF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授予中小企业合同金额0.20万元，占政府采购支出总额的100.00%，其中：授予小微企业合同金额0.20万元，占政府采购支出总额的100.00%。</w:t>
      </w:r>
    </w:p>
    <w:p w14:paraId="0897801F">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14:paraId="3E405B1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2025年12月31日，房屋0.00平方米，价值0.00万元。车辆1辆，价值19.59万元，其中：副部（省）级及以上领导用车0辆、主要负责人用车0辆、机要通信用车0辆、应急保障用车0辆、执法执勤用车0辆、特种专业技术用车0辆、离退休干部服务用车0辆、其他用车1辆，其他用车主要是：单位日常运行用车;单价100万元（含）以上设备（不含车辆）0台（套）。</w:t>
      </w:r>
    </w:p>
    <w:p w14:paraId="16D87FF5">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14:paraId="0F04FC5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根据预算绩效管理要求，本单位2025年度预算绩效评价项目1个，全年预算数301.2</w:t>
      </w:r>
      <w:r>
        <w:rPr>
          <w:rFonts w:hint="eastAsia" w:ascii="仿宋_GB2312" w:eastAsia="仿宋_GB2312"/>
          <w:b w:val="0"/>
          <w:sz w:val="32"/>
          <w:szCs w:val="32"/>
          <w:lang w:val="en-US" w:eastAsia="zh-CN"/>
        </w:rPr>
        <w:t>0</w:t>
      </w:r>
      <w:r>
        <w:rPr>
          <w:rFonts w:ascii="仿宋_GB2312" w:eastAsia="仿宋_GB2312"/>
          <w:b w:val="0"/>
          <w:sz w:val="32"/>
          <w:szCs w:val="32"/>
        </w:rPr>
        <w:t>万元，全年执行数301.2</w:t>
      </w:r>
      <w:r>
        <w:rPr>
          <w:rFonts w:hint="eastAsia" w:ascii="仿宋_GB2312" w:eastAsia="仿宋_GB2312"/>
          <w:b w:val="0"/>
          <w:sz w:val="32"/>
          <w:szCs w:val="32"/>
          <w:lang w:val="en-US" w:eastAsia="zh-CN"/>
        </w:rPr>
        <w:t>0</w:t>
      </w:r>
      <w:r>
        <w:rPr>
          <w:rFonts w:ascii="仿宋_GB2312" w:eastAsia="仿宋_GB2312"/>
          <w:b w:val="0"/>
          <w:sz w:val="32"/>
          <w:szCs w:val="32"/>
        </w:rPr>
        <w:t>万元。预算绩效管理取得的成效：一是按照绩效目标高效、高质量完成各项工作内容；二是能够及时发现问题并及时调整各项工作内容。发现的问题及原因：一是前期绩效目标不够细致；二是没有考虑到项目实施可能遇到变量。下一步改进措施：一是完善预算绩效管理基础工作，做细各项绩效指标；二是继续提升预算绩效管理的深度和广度，全面考虑项目实施各项因素。具体附项目支出绩效自评表。</w:t>
      </w:r>
    </w:p>
    <w:p w14:paraId="327D040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14:paraId="30DE2A8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本单位无其他需说明的事项。</w:t>
      </w:r>
    </w:p>
    <w:p w14:paraId="7B57B554">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62EA01B5">
      <w:pPr>
        <w:widowControl/>
      </w:pPr>
      <w:r>
        <w:rPr>
          <w:b w:val="0"/>
          <w:sz w:val="0"/>
          <w:szCs w:val="0"/>
        </w:rPr>
        <w:br w:type="page"/>
      </w:r>
    </w:p>
    <w:p w14:paraId="67B4E7C1">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14:paraId="5E3B9CF7">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14:paraId="131E4A24">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5DFAEDD2">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14:paraId="1DD23DA7">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7EE66D97">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14:paraId="7DD23EF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14:paraId="258A1409">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14:paraId="68997539">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14:paraId="68AF94AB">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14:paraId="61F337E6">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14:paraId="589FAD10">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14:paraId="41B53E2D">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14:paraId="097E3AB7">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14:paraId="78B3F00D">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14:paraId="454B0D80">
      <w:pPr>
        <w:widowControl/>
        <w:spacing w:before="0" w:beforeLines="0" w:beforeAutospacing="0" w:after="0" w:afterLines="0" w:afterAutospacing="0" w:line="240" w:lineRule="auto"/>
        <w:ind w:firstLine="643"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14:paraId="786913AC">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4D99AF9C">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14:paraId="6E82F09F">
      <w:pPr>
        <w:widowControl/>
      </w:pPr>
      <w:r>
        <w:rPr>
          <w:b w:val="0"/>
          <w:sz w:val="0"/>
          <w:szCs w:val="0"/>
        </w:rPr>
        <w:br w:type="page"/>
      </w:r>
    </w:p>
    <w:p w14:paraId="3D49D7CC">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14:paraId="3CA6B3AB">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14:paraId="7FFAFB4B">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14:paraId="2F7B1DE8">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14:paraId="59460BE1">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14:paraId="2B8E6CC0">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14:paraId="3F17616E">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43088F70">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66F25A88">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18A94216">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000000"/>
    <w:rsid w:val="0CDC58C4"/>
    <w:rsid w:val="0CEE4B2C"/>
    <w:rsid w:val="0E6468EC"/>
    <w:rsid w:val="18C462EB"/>
    <w:rsid w:val="1E08107E"/>
    <w:rsid w:val="1EE84E3B"/>
    <w:rsid w:val="2BEE3A6A"/>
    <w:rsid w:val="32BF08B4"/>
    <w:rsid w:val="41810F97"/>
    <w:rsid w:val="48452A10"/>
    <w:rsid w:val="4F6907C5"/>
    <w:rsid w:val="531A0A6A"/>
    <w:rsid w:val="538F1448"/>
    <w:rsid w:val="550002AC"/>
    <w:rsid w:val="66493BA6"/>
    <w:rsid w:val="69165117"/>
    <w:rsid w:val="6FBB38F5"/>
    <w:rsid w:val="74127BDE"/>
    <w:rsid w:val="75091655"/>
    <w:rsid w:val="76843A6C"/>
    <w:rsid w:val="7C991B2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qFormat="1"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annotation text"/>
    <w:basedOn w:val="1"/>
    <w:semiHidden/>
    <w:unhideWhenUsed/>
    <w:qFormat/>
    <w:uiPriority w:val="99"/>
    <w:pPr>
      <w:jc w:val="left"/>
    </w:p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Emphasis"/>
    <w:basedOn w:val="14"/>
    <w:qFormat/>
    <w:uiPriority w:val="20"/>
    <w:rPr>
      <w:i/>
      <w:iCs/>
    </w:rPr>
  </w:style>
  <w:style w:type="character" w:styleId="16">
    <w:name w:val="Hyperlink"/>
    <w:basedOn w:val="14"/>
    <w:unhideWhenUsed/>
    <w:qFormat/>
    <w:uiPriority w:val="99"/>
    <w:rPr>
      <w:color w:val="0000FF" w:themeColor="hyperlink"/>
      <w:u w:val="single"/>
    </w:rPr>
  </w:style>
  <w:style w:type="character" w:customStyle="1" w:styleId="17">
    <w:name w:val="Header Char"/>
    <w:basedOn w:val="14"/>
    <w:link w:val="9"/>
    <w:qFormat/>
    <w:uiPriority w:val="99"/>
  </w:style>
  <w:style w:type="character" w:customStyle="1" w:styleId="18">
    <w:name w:val="Heading 1 Char"/>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9">
    <w:name w:val="Heading 2 Char"/>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0">
    <w:name w:val="Heading 3 Char"/>
    <w:basedOn w:val="14"/>
    <w:link w:val="4"/>
    <w:qFormat/>
    <w:uiPriority w:val="9"/>
    <w:rPr>
      <w:rFonts w:asciiTheme="majorHAnsi" w:hAnsiTheme="majorHAnsi" w:eastAsiaTheme="majorEastAsia" w:cstheme="majorBidi"/>
      <w:b/>
      <w:bCs/>
      <w:color w:val="4F81BD" w:themeColor="accent1"/>
    </w:rPr>
  </w:style>
  <w:style w:type="character" w:customStyle="1" w:styleId="21">
    <w:name w:val="Heading 4 Char"/>
    <w:basedOn w:val="14"/>
    <w:link w:val="5"/>
    <w:qFormat/>
    <w:uiPriority w:val="9"/>
    <w:rPr>
      <w:rFonts w:asciiTheme="majorHAnsi" w:hAnsiTheme="majorHAnsi" w:eastAsiaTheme="majorEastAsia" w:cstheme="majorBidi"/>
      <w:b/>
      <w:bCs/>
      <w:i/>
      <w:iCs/>
      <w:color w:val="4F81BD" w:themeColor="accent1"/>
    </w:rPr>
  </w:style>
  <w:style w:type="character" w:customStyle="1" w:styleId="22">
    <w:name w:val="Subtitle Char"/>
    <w:basedOn w:val="14"/>
    <w:link w:val="10"/>
    <w:qFormat/>
    <w:uiPriority w:val="11"/>
    <w:rPr>
      <w:rFonts w:asciiTheme="majorHAnsi" w:hAnsiTheme="majorHAnsi" w:eastAsiaTheme="majorEastAsia" w:cstheme="majorBidi"/>
      <w:i/>
      <w:iCs/>
      <w:color w:val="4F81BD" w:themeColor="accent1"/>
      <w:spacing w:val="15"/>
      <w:sz w:val="24"/>
      <w:szCs w:val="24"/>
    </w:rPr>
  </w:style>
  <w:style w:type="character" w:customStyle="1" w:styleId="23">
    <w:name w:val="Title Char"/>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28cbbdd1-f2db-4055-a11f-32b3f83489e3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20C63E7B</paraID>
      <start>0</start>
      <end>2</end>
      <status>unmodified</status>
      <modifiedWord/>
      <trackRevisions>false</trackRevisions>
    </reviewItem>
    <reviewItem>
      <errorID>6eadc62d-5669-423c-8312-0068ec7f253e</errorID>
      <errorWord>,</errorWord>
      <group>L1_Format</group>
      <groupName>格式问题</groupName>
      <ability>L2_HalfPunc_CN</ability>
      <abilityName>全半角问题</abilityName>
      <candidateList>
        <item>，</item>
      </candidateList>
      <explain>文本全半角错误。</explain>
      <paraID>7753E11B</paraID>
      <start>34</start>
      <end>35</end>
      <status>unmodified</status>
      <modifiedWord/>
      <trackRevisions>false</trackRevisions>
    </reviewItem>
    <reviewItem>
      <errorID>15d98a28-7fdf-447f-a22c-d47797f4ee86</errorID>
      <errorWord>,</errorWord>
      <group>L1_Format</group>
      <groupName>格式问题</groupName>
      <ability>L2_HalfPunc_CN</ability>
      <abilityName>全半角问题</abilityName>
      <candidateList>
        <item>，</item>
      </candidateList>
      <explain>文本全半角错误。</explain>
      <paraID>7753E11B</paraID>
      <start>55</start>
      <end>56</end>
      <status>unmodified</status>
      <modifiedWord/>
      <trackRevisions>false</trackRevisions>
    </reviewItem>
    <reviewItem>
      <errorID>fcbd11a4-af97-4229-820e-532b136c8e5e</errorID>
      <errorWord>,</errorWord>
      <group>L1_Format</group>
      <groupName>格式问题</groupName>
      <ability>L2_HalfPunc_CN</ability>
      <abilityName>全半角问题</abilityName>
      <candidateList>
        <item>，</item>
      </candidateList>
      <explain>文本全半角错误。</explain>
      <paraID>7753E11B</paraID>
      <start>94</start>
      <end>95</end>
      <status>unmodified</status>
      <modifiedWord/>
      <trackRevisions>false</trackRevisions>
    </reviewItem>
    <reviewItem>
      <errorID>06c83da3-8383-44cd-9612-5ed7829f7ed2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4C5B8397</paraID>
      <start>0</start>
      <end>2</end>
      <status>unmodified</status>
      <modifiedWord/>
      <trackRevisions>false</trackRevisions>
    </reviewItem>
    <reviewItem>
      <errorID>5000d7d6-df73-422e-99dc-d5c1b0140ac6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58AA4D5D</paraID>
      <start>0</start>
      <end>2</end>
      <status>unmodified</status>
      <modifiedWord/>
      <trackRevisions>false</trackRevisions>
    </reviewItem>
    <reviewItem>
      <errorID>5d3727ae-11e0-465c-bd74-1405fef3edc1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28E308A1</paraID>
      <start>0</start>
      <end>2</end>
      <status>unmodified</status>
      <modifiedWord/>
      <trackRevisions>false</trackRevisions>
    </reviewItem>
    <reviewItem>
      <errorID>c0573189-8479-442d-a98d-d5fca2fb9827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68AFB78E</paraID>
      <start>0</start>
      <end>2</end>
      <status>unmodified</status>
      <modifiedWord/>
      <trackRevisions>false</trackRevisions>
    </reviewItem>
    <reviewItem>
      <errorID>576334c4-0978-45ce-99b9-0e7af926982d</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5AF7DC5C</paraID>
      <start>0</start>
      <end>2</end>
      <status>unmodified</status>
      <modifiedWord/>
      <trackRevisions>false</trackRevisions>
    </reviewItem>
    <reviewItem>
      <errorID>d4ef1429-e692-4247-9aa6-ce44079b8156</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32982912</paraID>
      <start>0</start>
      <end>2</end>
      <status>unmodified</status>
      <modifiedWord/>
      <trackRevisions>false</trackRevisions>
    </reviewItem>
    <reviewItem>
      <errorID>773dbafc-8e13-45c3-939d-239586bf42bd</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271352C5</paraID>
      <start>0</start>
      <end>2</end>
      <status>unmodified</status>
      <modifiedWord/>
      <trackRevisions>false</trackRevisions>
    </reviewItem>
    <reviewItem>
      <errorID>9af17f90-1448-4bc5-8713-7b5af7043fb6</errorID>
      <errorWord>,</errorWord>
      <group>L1_Format</group>
      <groupName>格式问题</groupName>
      <ability>L2_HalfPunc_CN</ability>
      <abilityName>全半角问题</abilityName>
      <candidateList>
        <item>，</item>
      </candidateList>
      <explain>文本全半角错误。</explain>
      <paraID> 384F3A8</paraID>
      <start>89</start>
      <end>90</end>
      <status>unmodified</status>
      <modifiedWord/>
      <trackRevisions>false</trackRevisions>
    </reviewItem>
    <reviewItem>
      <errorID>77b2f1e4-0953-42f7-928b-0dd98351ba9b</errorID>
      <errorWord>购置及运行维护费</errorWord>
      <group>L1_Word</group>
      <groupName>字词问题</groupName>
      <ability>L2_Typo</ability>
      <abilityName>字词错误</abilityName>
      <candidateList>
        <item>运行维护费相关规定</item>
      </candidateList>
      <explain/>
      <paraID>4B4D3FD8</paraID>
      <start>78</start>
      <end>86</end>
      <status>unmodified</status>
      <modifiedWord/>
      <trackRevisions>false</trackRevisions>
    </reviewItem>
    <reviewItem>
      <errorID>04909454-c82d-4880-bc7f-d7ce7c8abed6</errorID>
      <errorWord>;</errorWord>
      <group>L1_Format</group>
      <groupName>格式问题</groupName>
      <ability>L2_HalfPunc_CN</ability>
      <abilityName>全半角问题</abilityName>
      <candidateList>
        <item>；</item>
      </candidateList>
      <explain>文本全半角错误。</explain>
      <paraID>7B1B140B</paraID>
      <start>150</start>
      <end>151</end>
      <status>unmodified</status>
      <modifiedWord/>
      <trackRevisions>false</trackRevisions>
    </reviewItem>
  </reviewItems>
  <config/>
</contractReview>
</file>

<file path=customXml/itemProps1.xml><?xml version="1.0" encoding="utf-8"?>
<ds:datastoreItem xmlns:ds="http://schemas.openxmlformats.org/officeDocument/2006/customXml" ds:itemID="{79f3b406-0d2d-4b64-9c7d-3edcc25ca9b6}">
  <ds:schemaRefs/>
</ds:datastoreItem>
</file>

<file path=docProps/app.xml><?xml version="1.0" encoding="utf-8"?>
<Properties xmlns="http://schemas.openxmlformats.org/officeDocument/2006/extended-properties" xmlns:vt="http://schemas.openxmlformats.org/officeDocument/2006/docPropsVTypes">
  <Pages>13</Pages>
  <Words>5540</Words>
  <Characters>6165</Characters>
  <TotalTime>8</TotalTime>
  <ScaleCrop>false</ScaleCrop>
  <LinksUpToDate>false</LinksUpToDate>
  <CharactersWithSpaces>6172</CharactersWithSpaces>
  <Application>WPS Office_12.1.0.18608_F1E327BC-269C-435d-A152-05C5408002CA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2026-08-20T03:38:00Z</dcterms:created>
  <dc:creator>Lenovo</dc:creator>
  <cp:lastModifiedBy>雨。</cp:lastModifiedBy>
  <dcterms:modified xsi:type="dcterms:W3CDTF">2026-08-29T13:38:34Z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eyJoZGlkIjoiYTZjZThjMDFjYjU0NDRjYWE1YjFlZmFjNmU0NDBiYTgiLCJ1c2VySWQiOiI0NjExNzA3OTgifQ==</vt:lpwstr>
  </property>
  <property fmtid="{D5CDD505-2E9C-101B-9397-08002B2CF9AE}" pid="3" name="KSOProductBuildVer">
    <vt:lpwstr>2052-12.1.0.18608</vt:lpwstr>
  </property>
  <property fmtid="{D5CDD505-2E9C-101B-9397-08002B2CF9AE}" pid="4" name="ICV">
    <vt:lpwstr>B45638D9B48248E590DCC0CDE4797D38_12</vt:lpwstr>
  </property>
</Properties>
</file>