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EA0706">
      <w:pPr>
        <w:widowControl/>
        <w:spacing w:before="0" w:beforeLines="0" w:beforeAutospacing="0" w:after="0" w:afterLines="0" w:afterAutospacing="0" w:line="240" w:lineRule="auto"/>
        <w:jc w:val="left"/>
        <w:rPr>
          <w:rFonts w:ascii="宋体" w:eastAsia="宋体"/>
          <w:sz w:val="32"/>
          <w:szCs w:val="32"/>
        </w:rPr>
      </w:pPr>
    </w:p>
    <w:p w14:paraId="7B143163">
      <w:pPr>
        <w:widowControl/>
        <w:spacing w:before="0" w:beforeLines="0" w:beforeAutospacing="0" w:after="0" w:afterLines="0" w:afterAutospacing="0" w:line="240" w:lineRule="auto"/>
        <w:jc w:val="left"/>
        <w:rPr>
          <w:rFonts w:ascii="宋体" w:eastAsia="宋体"/>
          <w:sz w:val="44"/>
          <w:szCs w:val="44"/>
        </w:rPr>
      </w:pPr>
    </w:p>
    <w:p w14:paraId="6598F2B0">
      <w:pPr>
        <w:widowControl/>
        <w:spacing w:before="0" w:beforeLines="0" w:beforeAutospacing="0" w:after="0" w:afterLines="0" w:afterAutospacing="0" w:line="240" w:lineRule="auto"/>
        <w:jc w:val="left"/>
        <w:rPr>
          <w:rFonts w:ascii="宋体" w:eastAsia="宋体"/>
          <w:sz w:val="44"/>
          <w:szCs w:val="44"/>
        </w:rPr>
      </w:pPr>
    </w:p>
    <w:p w14:paraId="35CBE897">
      <w:pPr>
        <w:widowControl/>
        <w:spacing w:before="0" w:beforeLines="0" w:beforeAutospacing="0" w:after="0" w:afterLines="0" w:afterAutospacing="0" w:line="240" w:lineRule="auto"/>
        <w:jc w:val="left"/>
        <w:rPr>
          <w:rFonts w:ascii="宋体" w:eastAsia="宋体"/>
          <w:sz w:val="44"/>
          <w:szCs w:val="44"/>
        </w:rPr>
      </w:pPr>
    </w:p>
    <w:p w14:paraId="1C29BB42">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新疆林科院造林治沙研究所</w:t>
      </w:r>
    </w:p>
    <w:p w14:paraId="0BEC4CAC">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2D1324F4">
      <w:pPr>
        <w:widowControl/>
      </w:pPr>
      <w:r>
        <w:rPr>
          <w:b w:val="0"/>
          <w:sz w:val="0"/>
          <w:szCs w:val="0"/>
        </w:rPr>
        <w:br w:type="page"/>
      </w:r>
    </w:p>
    <w:p w14:paraId="6523FC2E">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2646464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6ED4478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014066D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4659057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3A2E3D1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4DB4510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1137A71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549C0EA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186BFA3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1A64A72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5A68165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2BFB652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2B0551F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166608D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684BA2E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373C1C5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2CE3C8C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6284FD4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27C68F7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072E50E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60468B6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7EF370A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1D531E1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70E062F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1FF6406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1074500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32507AA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447E20C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3CA6A84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4C9ABF1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72DC544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279919C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2C1174B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52AACD7F">
      <w:pPr>
        <w:widowControl/>
      </w:pPr>
      <w:r>
        <w:rPr>
          <w:b w:val="0"/>
          <w:sz w:val="0"/>
          <w:szCs w:val="0"/>
        </w:rPr>
        <w:br w:type="page"/>
      </w:r>
    </w:p>
    <w:p w14:paraId="6F08A16F">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526F549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2DA65E3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承担新疆生态树种的良种选育、引种驯化及其栽培管理技术研究；开展新疆防沙治沙、荒漠化治理、用材林、农田防护林、节水林业等各类林业工程的造林技术研究与集成；进行荒漠物种资源开发利用的沙区产业技术研究；为生态林业工程建设提供科技咨询和科技服务。</w:t>
      </w:r>
    </w:p>
    <w:p w14:paraId="3CF53D8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0B0F9C5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新疆林科院造林治沙研究所无下属预算单位。</w:t>
      </w:r>
    </w:p>
    <w:p w14:paraId="25558726">
      <w:pPr>
        <w:widowControl/>
      </w:pPr>
      <w:r>
        <w:rPr>
          <w:b w:val="0"/>
          <w:sz w:val="0"/>
          <w:szCs w:val="0"/>
        </w:rPr>
        <w:br w:type="page"/>
      </w:r>
    </w:p>
    <w:p w14:paraId="3637445B">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3F558123">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2EF2D18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2025年度收入总计1,756.97万元，其中：本年收入合计1,037.57万元，使用非财政拨款结余（含专用结余）0.00万元，年初结转和结余719.40万元。</w:t>
      </w:r>
    </w:p>
    <w:p w14:paraId="4012DB5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2025年度支出总计1,756.97万元，其中：本年支出合计1,403.10万元，结余分配0.00万元，年末结转和结余353.87万元。</w:t>
      </w:r>
    </w:p>
    <w:p w14:paraId="53BBE50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收入支出总体与上年相比，减少1,115.65万元，下降38.84%，主要原因是：</w:t>
      </w:r>
      <w:r>
        <w:rPr>
          <w:rFonts w:hint="eastAsia" w:ascii="仿宋_GB2312" w:eastAsia="仿宋_GB2312"/>
          <w:b w:val="0"/>
          <w:sz w:val="32"/>
          <w:szCs w:val="32"/>
        </w:rPr>
        <w:t>因我单位机构改革，本年新疆肉苁蓉新产品研发与应用、新疆特色林果种质创新与新品种选育等项目资金由自治区林业科学院实施，导致本单位项目资金较上年减少</w:t>
      </w:r>
      <w:r>
        <w:rPr>
          <w:rFonts w:ascii="仿宋_GB2312" w:eastAsia="仿宋_GB2312"/>
          <w:b w:val="0"/>
          <w:sz w:val="32"/>
          <w:szCs w:val="32"/>
        </w:rPr>
        <w:t>。</w:t>
      </w:r>
    </w:p>
    <w:p w14:paraId="29EADD5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0F9EE53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本年收入1,037.57万元，其中：财政拨款收入808.60万元,占77.93%；上级补助收入0.00万元,占0.00%；事业收入228.05万元，占21.98%；经营收入0.00万元,占0.00%；附属单位上缴收入0.00万元，占0.00%；其他收入0.92万元，占0.09%。</w:t>
      </w:r>
    </w:p>
    <w:p w14:paraId="5D8C2E6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7BA1EF7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本年支出1,403.10万元，其中：基本支出609.52万元，占43.44%；项目支出793.58万元，占56.56%；上缴上级支出0.00万元，占0.00%；经营支出0.00万元，占0.00%；对附属单位补助支出0.00万元，占0.00%。</w:t>
      </w:r>
    </w:p>
    <w:p w14:paraId="72F2360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493D021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2025年度财政拨款收入总计808.60万元，其中：年初财政拨款结转和结余0.00万元，本年财政拨款收入808.60万元。财政拨款支出总计808.60万元，其中：年末财政拨款结转和结余0.00万元，本年财政拨款支出808.60万元。</w:t>
      </w:r>
    </w:p>
    <w:p w14:paraId="05EFAF0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27.40万元，下降3.28%，主要原因是：上年度实施的生态树种新品种选育及修复关键技术研究项目已完成，本年度不再安排对应财政拨款资金，财政拨款收入支出总体较上年减少。与年初预算相比，年初预算数720.66万元，决算数808.60万元，预决算差异率12.20%，主要原因是：</w:t>
      </w:r>
      <w:r>
        <w:rPr>
          <w:rFonts w:hint="eastAsia" w:ascii="仿宋_GB2312" w:eastAsia="仿宋_GB2312"/>
          <w:b w:val="0"/>
          <w:sz w:val="32"/>
          <w:szCs w:val="32"/>
        </w:rPr>
        <w:t>年中追加人员工资、社保、公积金基数调增部分资金及做实2025年职业年金，导致预决算存在差异</w:t>
      </w:r>
      <w:r>
        <w:rPr>
          <w:rFonts w:ascii="仿宋_GB2312" w:eastAsia="仿宋_GB2312"/>
          <w:b w:val="0"/>
          <w:sz w:val="32"/>
          <w:szCs w:val="32"/>
        </w:rPr>
        <w:t>。</w:t>
      </w:r>
    </w:p>
    <w:p w14:paraId="3D203E5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61883264">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科研业务开展、人才队伍建设、单位运转保障等重点支出，体现在有关支出科目中。</w:t>
      </w:r>
    </w:p>
    <w:p w14:paraId="6A21E980">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科学技术支出（类）应用研究（款）机构运行（项）的支出占本年财政拨款支出总额的比重最高，2025年度决算数为608.60万元，占比75.27%，主要用于保障单位日常履职运转、人才队伍建设及基层科研工作有序推进。具体涵盖单位在职人员工资福利、社会保障缴费等人员经费支出，保障科研人员稳定履职；覆盖办公运转、耗材采购、设备维保等日常公用经费，维系单位常态化运转。</w:t>
      </w:r>
    </w:p>
    <w:p w14:paraId="45E2A588">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4F2DFA1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808.60万元，占本年支出合计的57.63%。与上年相比，减少27.40万元，下降3.28%，主要原因是：上年度实施的生态树种新品种选育及修复关键技术研究项目已完成，本年度不再安排对应财政拨款资金，相应一般公共预算财政拨款支出较上年减少。与年初预算相比，年初预算数720.66万元，决算数808.60万元，预决算差异率12.20%，主要原因是：</w:t>
      </w:r>
      <w:r>
        <w:rPr>
          <w:rFonts w:hint="eastAsia" w:ascii="仿宋_GB2312" w:eastAsia="仿宋_GB2312"/>
          <w:b w:val="0"/>
          <w:sz w:val="32"/>
          <w:szCs w:val="32"/>
        </w:rPr>
        <w:t>年中追加人员工资、社保、公积金基数调增部分资金及做实2025年职业年金，导致预决算存在差异</w:t>
      </w:r>
      <w:r>
        <w:rPr>
          <w:rFonts w:ascii="仿宋_GB2312" w:eastAsia="仿宋_GB2312"/>
          <w:b w:val="0"/>
          <w:sz w:val="32"/>
          <w:szCs w:val="32"/>
        </w:rPr>
        <w:t>。</w:t>
      </w:r>
    </w:p>
    <w:p w14:paraId="5FBC8925">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1D442BB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1.科学技术支出（类）608.60万元，占75.27%。</w:t>
      </w:r>
    </w:p>
    <w:p w14:paraId="3AD3F39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2.农林水支出（类）200.00万元，占24.73%。</w:t>
      </w:r>
    </w:p>
    <w:p w14:paraId="78C39265">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789AE54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w:t>
      </w:r>
      <w:r>
        <w:rPr>
          <w:rFonts w:hint="eastAsia" w:ascii="仿宋_GB2312" w:eastAsia="仿宋_GB2312"/>
          <w:b w:val="0"/>
          <w:sz w:val="32"/>
          <w:szCs w:val="32"/>
          <w:lang w:eastAsia="zh-CN"/>
        </w:rPr>
        <w:t>.</w:t>
      </w:r>
      <w:r>
        <w:rPr>
          <w:rFonts w:ascii="仿宋_GB2312" w:eastAsia="仿宋_GB2312"/>
          <w:b w:val="0"/>
          <w:sz w:val="32"/>
          <w:szCs w:val="32"/>
        </w:rPr>
        <w:t>科学技术支出（类）基础研究（款）科技人才队伍建设（项）：支出决算数为0.00万元，比上年决算减少1.68万元，下降100.00%，主要原因是：“天山英才”计划—</w:t>
      </w:r>
      <w:r>
        <w:rPr>
          <w:rFonts w:hint="eastAsia" w:ascii="仿宋_GB2312" w:eastAsia="仿宋_GB2312"/>
          <w:b w:val="0"/>
          <w:sz w:val="32"/>
          <w:szCs w:val="32"/>
          <w:lang w:eastAsia="zh-CN"/>
        </w:rPr>
        <w:t>“三农”</w:t>
      </w:r>
      <w:bookmarkStart w:id="0" w:name="_GoBack"/>
      <w:bookmarkEnd w:id="0"/>
      <w:r>
        <w:rPr>
          <w:rFonts w:ascii="仿宋_GB2312" w:eastAsia="仿宋_GB2312"/>
          <w:b w:val="0"/>
          <w:sz w:val="32"/>
          <w:szCs w:val="32"/>
        </w:rPr>
        <w:t>骨干人才《新疆肉苁蓉种植关键技术示范与推广》项目已于上年结项，本年度未安排人才培育、人才引进专项经费。</w:t>
      </w:r>
    </w:p>
    <w:p w14:paraId="639A640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w:t>
      </w:r>
      <w:r>
        <w:rPr>
          <w:rFonts w:hint="eastAsia" w:ascii="仿宋_GB2312" w:eastAsia="仿宋_GB2312"/>
          <w:b w:val="0"/>
          <w:sz w:val="32"/>
          <w:szCs w:val="32"/>
          <w:lang w:eastAsia="zh-CN"/>
        </w:rPr>
        <w:t>.</w:t>
      </w:r>
      <w:r>
        <w:rPr>
          <w:rFonts w:ascii="仿宋_GB2312" w:eastAsia="仿宋_GB2312"/>
          <w:b w:val="0"/>
          <w:sz w:val="32"/>
          <w:szCs w:val="32"/>
        </w:rPr>
        <w:t>科学技术支出（类）应用研究（款）机构运行（项）：支出决算数为608.60万元，比上年决算增加23.05万元，增长3.94%，主要原因是：</w:t>
      </w:r>
      <w:r>
        <w:rPr>
          <w:rFonts w:hint="eastAsia" w:ascii="仿宋_GB2312" w:eastAsia="仿宋_GB2312"/>
          <w:b w:val="0"/>
          <w:sz w:val="32"/>
          <w:szCs w:val="32"/>
        </w:rPr>
        <w:t>一是本年在职人员工资调增，社保、公积金基数调增，人员经费增加；二是根据政策要求，本年在职人员职业年金做实，职业年金缴费较上年增加</w:t>
      </w:r>
      <w:r>
        <w:rPr>
          <w:rFonts w:ascii="仿宋_GB2312" w:eastAsia="仿宋_GB2312"/>
          <w:b w:val="0"/>
          <w:sz w:val="32"/>
          <w:szCs w:val="32"/>
        </w:rPr>
        <w:t>。</w:t>
      </w:r>
    </w:p>
    <w:p w14:paraId="7535F10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w:t>
      </w:r>
      <w:r>
        <w:rPr>
          <w:rFonts w:hint="eastAsia" w:ascii="仿宋_GB2312" w:eastAsia="仿宋_GB2312"/>
          <w:b w:val="0"/>
          <w:sz w:val="32"/>
          <w:szCs w:val="32"/>
          <w:lang w:eastAsia="zh-CN"/>
        </w:rPr>
        <w:t>.</w:t>
      </w:r>
      <w:r>
        <w:rPr>
          <w:rFonts w:ascii="仿宋_GB2312" w:eastAsia="仿宋_GB2312"/>
          <w:b w:val="0"/>
          <w:sz w:val="32"/>
          <w:szCs w:val="32"/>
        </w:rPr>
        <w:t>科学技术支出（类）科技条件与服务（款）其他科技条件与服务支出（项）：支出决算数为0.00万元，比上年决算减少4.77万元，下降100.00%，主要原因是：“三区”科技人才支持计划项目已于上年结项，本年度未安排其他科技条件与服务专项经费。</w:t>
      </w:r>
    </w:p>
    <w:p w14:paraId="0392F54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技术推广与转化（项）：支出决算数为200.00万元，比上年决算增加121.00万元，增长153.16%，主要原因是：本年度新增荒漠绿洲区防护林水资源高效利用技术推广与示范项目，造成该项支出决算较上年有所增长。</w:t>
      </w:r>
    </w:p>
    <w:p w14:paraId="5DAD1BA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5</w:t>
      </w:r>
      <w:r>
        <w:rPr>
          <w:rFonts w:hint="eastAsia" w:ascii="仿宋_GB2312" w:eastAsia="仿宋_GB2312"/>
          <w:b w:val="0"/>
          <w:sz w:val="32"/>
          <w:szCs w:val="32"/>
          <w:lang w:eastAsia="zh-CN"/>
        </w:rPr>
        <w:t>.</w:t>
      </w:r>
      <w:r>
        <w:rPr>
          <w:rFonts w:ascii="仿宋_GB2312" w:eastAsia="仿宋_GB2312"/>
          <w:b w:val="0"/>
          <w:sz w:val="32"/>
          <w:szCs w:val="32"/>
        </w:rPr>
        <w:t>农林水支出（类）林业和草原（款）其他林业和草原支出（项）：支出决算数为0.00万元，比上年决算减少165.00万元，下降100.00%，主要原因是：生态树种新品种选育及修复关键技术研究项目已于上年结项，本年度未安排其他林业和草原支出专项经费。</w:t>
      </w:r>
    </w:p>
    <w:p w14:paraId="210B3A9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0430D63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608.60万元，其中：人员经费573.30万元，包括：基本工资、津贴补贴、奖金、绩效工资、机关事业单位基本养老保险缴费、职业年金缴费、职工基本医疗保险缴费、公务员医疗补助缴费、其他社会保障缴费、住房公积金、退休费和其他对个人和家庭的补助。</w:t>
      </w:r>
    </w:p>
    <w:p w14:paraId="66C8C46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公用经费35.30万元，包括：办公费、水费、电费、邮电费、差旅费、维修（护）费、专用材料费、委托业务费、工会经费、福利费、其他交通费用和其他商品和服务支出。</w:t>
      </w:r>
    </w:p>
    <w:p w14:paraId="4F32DAB1">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6CCC655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3FCFF32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1C7941C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2632050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5593742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0.00万元，与上年相比无变化，主要原因是：我单位2024年度与2025年度均未安排财政拨款“三公”经费支出。其中：因公出国（境）费用支出0.00万元,占0.00%，与上年相比无变化，主要原因是：我单位2024年度与2025年度均未安排因公出国（境）费用；公务用车购置及运行维护费支出0.00万元，占0.00%，与上年相比无变化，主要原因是：我单位2024年度与2025年度均未安排公务用车购置及运行维护费；公务接待费支出0.00万元，占0.00%，与上年相比无变化，主要原因是：我单位2024年度与2025年度均未安排公务接待费。</w:t>
      </w:r>
    </w:p>
    <w:p w14:paraId="78746CB2">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352F75B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因公出国（境）费用0.00万元，开支内容包括我单位2025年度未安排因公出国（境）费用。单位全年安排的因公出国（境）团组0个，因公出国（境）0人次。</w:t>
      </w:r>
    </w:p>
    <w:p w14:paraId="7590A46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我单位2025年度未安排公务用车运行维护费。公务用车购置数0辆，公务用车保有量0辆。国有资产占用情况中固定资产车辆0辆，与公务用车保有量差异原因是：</w:t>
      </w:r>
      <w:r>
        <w:rPr>
          <w:rFonts w:hint="eastAsia" w:ascii="仿宋_GB2312" w:eastAsia="仿宋_GB2312"/>
          <w:b w:val="0"/>
          <w:sz w:val="32"/>
          <w:szCs w:val="32"/>
        </w:rPr>
        <w:t>本单位公务用车保有量与固定资产车辆一致无差异</w:t>
      </w:r>
      <w:r>
        <w:rPr>
          <w:rFonts w:ascii="仿宋_GB2312" w:eastAsia="仿宋_GB2312"/>
          <w:b w:val="0"/>
          <w:sz w:val="32"/>
          <w:szCs w:val="32"/>
        </w:rPr>
        <w:t>。</w:t>
      </w:r>
    </w:p>
    <w:p w14:paraId="1650096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val="en-US" w:eastAsia="zh-CN"/>
        </w:rPr>
        <w:t>本单位无</w:t>
      </w:r>
      <w:r>
        <w:rPr>
          <w:rFonts w:ascii="仿宋_GB2312" w:eastAsia="仿宋_GB2312"/>
          <w:b w:val="0"/>
          <w:sz w:val="32"/>
          <w:szCs w:val="32"/>
        </w:rPr>
        <w:t>公务接待费。单位全年安排的国内公务接待0批次，0人次。</w:t>
      </w:r>
    </w:p>
    <w:p w14:paraId="5698BDC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w:t>
      </w:r>
      <w:r>
        <w:rPr>
          <w:rFonts w:hint="eastAsia" w:ascii="仿宋_GB2312" w:eastAsia="仿宋_GB2312"/>
          <w:b w:val="0"/>
          <w:sz w:val="32"/>
          <w:szCs w:val="32"/>
          <w:lang w:val="en-US" w:eastAsia="zh-CN"/>
        </w:rPr>
        <w:t>本单位无</w:t>
      </w:r>
      <w:r>
        <w:rPr>
          <w:rFonts w:ascii="仿宋_GB2312" w:eastAsia="仿宋_GB2312"/>
          <w:b w:val="0"/>
          <w:sz w:val="32"/>
          <w:szCs w:val="32"/>
        </w:rPr>
        <w:t>财政拨款“三公”经费支出。其中：因公出国（境）费用全年预算数0.00万元，决算数0.00万元，预决算差异率0.00%，主要原因是：</w:t>
      </w:r>
      <w:r>
        <w:rPr>
          <w:rFonts w:hint="eastAsia" w:ascii="仿宋_GB2312" w:eastAsia="仿宋_GB2312"/>
          <w:b w:val="0"/>
          <w:sz w:val="32"/>
          <w:szCs w:val="32"/>
          <w:lang w:val="en-US" w:eastAsia="zh-CN"/>
        </w:rPr>
        <w:t>本单位无</w:t>
      </w:r>
      <w:r>
        <w:rPr>
          <w:rFonts w:ascii="仿宋_GB2312" w:eastAsia="仿宋_GB2312"/>
          <w:b w:val="0"/>
          <w:sz w:val="32"/>
          <w:szCs w:val="32"/>
        </w:rPr>
        <w:t>因公出国（境）费用；公务用车购置费全年预算数0.00万元，决算数0.00万元，预决算差异率0.00%，主要原因是：</w:t>
      </w:r>
      <w:r>
        <w:rPr>
          <w:rFonts w:hint="eastAsia" w:ascii="仿宋_GB2312" w:eastAsia="仿宋_GB2312"/>
          <w:b w:val="0"/>
          <w:sz w:val="32"/>
          <w:szCs w:val="32"/>
          <w:lang w:val="en-US" w:eastAsia="zh-CN"/>
        </w:rPr>
        <w:t>本单位无</w:t>
      </w:r>
      <w:r>
        <w:rPr>
          <w:rFonts w:ascii="仿宋_GB2312" w:eastAsia="仿宋_GB2312"/>
          <w:b w:val="0"/>
          <w:sz w:val="32"/>
          <w:szCs w:val="32"/>
        </w:rPr>
        <w:t>公务用车购置费；公务用车运行维护费全年预算数0.00万元，决算数0.00万元，预决算差异率0.00%，主要原因是：</w:t>
      </w:r>
      <w:r>
        <w:rPr>
          <w:rFonts w:hint="eastAsia" w:ascii="仿宋_GB2312" w:eastAsia="仿宋_GB2312"/>
          <w:b w:val="0"/>
          <w:sz w:val="32"/>
          <w:szCs w:val="32"/>
          <w:lang w:val="en-US" w:eastAsia="zh-CN"/>
        </w:rPr>
        <w:t>本单位无</w:t>
      </w:r>
      <w:r>
        <w:rPr>
          <w:rFonts w:ascii="仿宋_GB2312" w:eastAsia="仿宋_GB2312"/>
          <w:b w:val="0"/>
          <w:sz w:val="32"/>
          <w:szCs w:val="32"/>
        </w:rPr>
        <w:t>公务用车运行维护费；公务接待费全年预算数0.00万元，决算数0.00万元，预决算差异率0.00%，主要原因是：</w:t>
      </w:r>
      <w:r>
        <w:rPr>
          <w:rFonts w:hint="eastAsia" w:ascii="仿宋_GB2312" w:eastAsia="仿宋_GB2312"/>
          <w:b w:val="0"/>
          <w:sz w:val="32"/>
          <w:szCs w:val="32"/>
          <w:lang w:val="en-US" w:eastAsia="zh-CN"/>
        </w:rPr>
        <w:t>本单位无</w:t>
      </w:r>
      <w:r>
        <w:rPr>
          <w:rFonts w:ascii="仿宋_GB2312" w:eastAsia="仿宋_GB2312"/>
          <w:b w:val="0"/>
          <w:sz w:val="32"/>
          <w:szCs w:val="32"/>
        </w:rPr>
        <w:t>公务接待费。</w:t>
      </w:r>
    </w:p>
    <w:p w14:paraId="4CEF3C4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46BCAC68">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5C314B0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林科院造林治沙研究所（事业单位）公用经费支出35.30万元，比上年减少27.62万元，下降43.90%，主要原因是：本年度严格贯彻落实党政机关坚持过紧日子、厉行勤俭节约的工作要求，进一步规范公务运行、物资采购、设备运维、差旅会务等公用经费使用，从严管控一般性、非刚性、非急需支出，持续压减低效、无效开支，致使本年度公用经费支出较上年大幅下降。</w:t>
      </w:r>
    </w:p>
    <w:p w14:paraId="0E49307E">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6A43A30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2025年度政府采购支出总额0.88万元，其中：政府采购货物支出0.88万元、政府采购工程支出0.00万元、政府采购服务支出0.00万元。</w:t>
      </w:r>
    </w:p>
    <w:p w14:paraId="53D52FA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授予中小企业合同金额0.88万元，占政府采购支出总额的100.00%，其中：授予小微企业合同金额0.88万元，占政府采购支出总额的100.00%。</w:t>
      </w:r>
    </w:p>
    <w:p w14:paraId="09D4F7A8">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5D87B62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641.00平方米，价值103.83万元。车辆0辆，价值0.00万元，其中：副部（省）级及以上领导用车0辆、主要负责人用车0辆、机要通信用车0辆、应急保障用车0辆、执法执勤用车0辆、特种专业技术用车0辆、离退休干部服务用车0辆、其他用车0辆，其他用车主要是：我单位无其他用车;单价100万元（含）以上设备（不含车辆）0台（套）。</w:t>
      </w:r>
    </w:p>
    <w:p w14:paraId="6C66EB5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30BA7AE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根据预算绩效管理要求，本单位2025年度预算绩效评价项目1个，全年预算数2</w:t>
      </w:r>
      <w:r>
        <w:rPr>
          <w:rFonts w:hint="eastAsia" w:ascii="仿宋_GB2312" w:eastAsia="仿宋_GB2312"/>
          <w:b w:val="0"/>
          <w:sz w:val="32"/>
          <w:szCs w:val="32"/>
          <w:lang w:val="en-US" w:eastAsia="zh-CN"/>
        </w:rPr>
        <w:t>,</w:t>
      </w:r>
      <w:r>
        <w:rPr>
          <w:rFonts w:ascii="仿宋_GB2312" w:eastAsia="仿宋_GB2312"/>
          <w:b w:val="0"/>
          <w:sz w:val="32"/>
          <w:szCs w:val="32"/>
        </w:rPr>
        <w:t>180.89万元，全年执行数2</w:t>
      </w:r>
      <w:r>
        <w:rPr>
          <w:rFonts w:hint="eastAsia" w:ascii="仿宋_GB2312" w:eastAsia="仿宋_GB2312"/>
          <w:b w:val="0"/>
          <w:sz w:val="32"/>
          <w:szCs w:val="32"/>
          <w:lang w:val="en-US" w:eastAsia="zh-CN"/>
        </w:rPr>
        <w:t>,</w:t>
      </w:r>
      <w:r>
        <w:rPr>
          <w:rFonts w:ascii="仿宋_GB2312" w:eastAsia="仿宋_GB2312"/>
          <w:b w:val="0"/>
          <w:sz w:val="32"/>
          <w:szCs w:val="32"/>
        </w:rPr>
        <w:t>180.89万元。预算绩效管理取得的成效：一是按照绩效目标高效、高质量完成各项工作内容；二是能够及时发现问题并及时调整各项工作内容。发现的问题及原因：一是前期绩效目标不够细致；二是没有考虑到项目实施可能遇到的变量。下一步改进措施：一是完善预算绩效管理基础工作，做细各项绩效指标；二是继续提升预算绩效管理的深度和广度，全面考虑项目实施各项因素。具体附项目支出绩效自评表。</w:t>
      </w:r>
    </w:p>
    <w:p w14:paraId="2889746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2F2671E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76235D68">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0E241E1B">
      <w:pPr>
        <w:widowControl/>
      </w:pPr>
      <w:r>
        <w:rPr>
          <w:b w:val="0"/>
          <w:sz w:val="0"/>
          <w:szCs w:val="0"/>
        </w:rPr>
        <w:br w:type="page"/>
      </w:r>
    </w:p>
    <w:p w14:paraId="1E436A71">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1A8A831B">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1F1A39E2">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7185E518">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6AF758A0">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47623EC3">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09AE6367">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072F5E0F">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30E913CD">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11B44336">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15C4625D">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65329CDB">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75B0236B">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41C465B6">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5457EE90">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686450C0">
      <w:pPr>
        <w:widowControl/>
        <w:spacing w:before="0" w:beforeLines="0" w:beforeAutospacing="0" w:after="0" w:afterLines="0" w:afterAutospacing="0" w:line="240" w:lineRule="auto"/>
        <w:ind w:firstLine="643" w:firstLineChars="200"/>
        <w:jc w:val="both"/>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53813DFB">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4C806F40">
      <w:pPr>
        <w:widowControl/>
        <w:spacing w:before="0" w:beforeLines="0" w:beforeAutospacing="0" w:after="0" w:afterLines="0" w:afterAutospacing="0" w:line="240" w:lineRule="auto"/>
        <w:ind w:firstLine="643" w:firstLineChars="200"/>
        <w:jc w:val="both"/>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3C67D8BD">
      <w:pPr>
        <w:widowControl/>
        <w:jc w:val="both"/>
      </w:pPr>
      <w:r>
        <w:rPr>
          <w:b w:val="0"/>
          <w:sz w:val="0"/>
          <w:szCs w:val="0"/>
        </w:rPr>
        <w:br w:type="page"/>
      </w:r>
    </w:p>
    <w:p w14:paraId="734F4851">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01DD0DD2">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6B253715">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734AFA22">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62FCA489">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1FCF536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3494B99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2510DB3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0D930D3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3121BED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000000"/>
    <w:rsid w:val="03D2173D"/>
    <w:rsid w:val="07171670"/>
    <w:rsid w:val="27EE6D67"/>
    <w:rsid w:val="31A343C4"/>
    <w:rsid w:val="411117F1"/>
    <w:rsid w:val="4A383276"/>
    <w:rsid w:val="573B5D31"/>
    <w:rsid w:val="6A393568"/>
    <w:rsid w:val="6A9F7D81"/>
    <w:rsid w:val="7E5251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annotation text"/>
    <w:basedOn w:val="1"/>
    <w:semiHidden/>
    <w:unhideWhenUsed/>
    <w:qFormat/>
    <w:uiPriority w:val="99"/>
    <w:pPr>
      <w:jc w:val="left"/>
    </w:p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Header Char"/>
    <w:basedOn w:val="14"/>
    <w:link w:val="9"/>
    <w:qFormat/>
    <w:uiPriority w:val="99"/>
  </w:style>
  <w:style w:type="character" w:customStyle="1" w:styleId="18">
    <w:name w:val="Heading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Heading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Heading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Heading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Subtitle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Title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0da6b2b5-4906-4691-9a61-e2fce8f7d813</errorID>
      <errorWord>,</errorWord>
      <group>L1_Format</group>
      <groupName>格式问题</groupName>
      <ability>L2_HalfPunc_CN</ability>
      <abilityName>全半角问题</abilityName>
      <candidateList>
        <item>，</item>
      </candidateList>
      <explain>文本全半角错误。</explain>
      <paraID> F9EE533</paraID>
      <start>32</start>
      <end>33</end>
      <status>unmodified</status>
      <modifiedWord/>
      <trackRevisions>false</trackRevisions>
    </reviewItem>
    <reviewItem>
      <errorID>5722abfa-f600-41fb-bfe2-84689c730365</errorID>
      <errorWord>,</errorWord>
      <group>L1_Format</group>
      <groupName>格式问题</groupName>
      <ability>L2_HalfPunc_CN</ability>
      <abilityName>全半角问题</abilityName>
      <candidateList>
        <item>，</item>
      </candidateList>
      <explain>文本全半角错误。</explain>
      <paraID> F9EE533</paraID>
      <start>53</start>
      <end>54</end>
      <status>unmodified</status>
      <modifiedWord/>
      <trackRevisions>false</trackRevisions>
    </reviewItem>
    <reviewItem>
      <errorID>260a2774-4c1a-4705-98f6-7582dc03a462</errorID>
      <errorWord>,</errorWord>
      <group>L1_Format</group>
      <groupName>格式问题</groupName>
      <ability>L2_HalfPunc_CN</ability>
      <abilityName>全半角问题</abilityName>
      <candidateList>
        <item>，</item>
      </candidateList>
      <explain>文本全半角错误。</explain>
      <paraID> F9EE533</paraID>
      <start>92</start>
      <end>93</end>
      <status>unmodified</status>
      <modifiedWord/>
      <trackRevisions>false</trackRevisions>
    </reviewItem>
    <reviewItem>
      <errorID>1a780a24-82f1-4441-bf47-deb513accd99</errorID>
      <errorWord>三农</errorWord>
      <group>L1_Political</group>
      <groupName>政治性问题</groupName>
      <ability>L2_Keyword</ability>
      <abilityName>固定表述</abilityName>
      <candidateList>
        <item>“三农”</item>
      </candidateList>
      <explain>注意检查当前固定表述标点是否使用规范。</explain>
      <paraID>789AE540</paraID>
      <start>82</start>
      <end>84</end>
      <status>unmodified</status>
      <modifiedWord/>
      <trackRevisions>false</trackRevisions>
    </reviewItem>
    <reviewItem>
      <errorID>e4d4d271-fc52-48fd-afab-c8b0eda29501</errorID>
      <errorWord>,</errorWord>
      <group>L1_Format</group>
      <groupName>格式问题</groupName>
      <ability>L2_HalfPunc_CN</ability>
      <abilityName>全半角问题</abilityName>
      <candidateList>
        <item>，</item>
      </candidateList>
      <explain>文本全半角错误。</explain>
      <paraID>5593742D</paraID>
      <start>93</start>
      <end>94</end>
      <status>unmodified</status>
      <modifiedWord/>
      <trackRevisions>false</trackRevisions>
    </reviewItem>
    <reviewItem>
      <errorID>85505ee6-ae30-4160-9cd0-9b8aef49dfae</errorID>
      <errorWord>包括</errorWord>
      <group>L1_Word</group>
      <groupName>字词问题</groupName>
      <ability>L2_Typo</ability>
      <abilityName>字词错误</abilityName>
      <candidateList>
        <item>为</item>
      </candidateList>
      <explain/>
      <paraID>352F75B2</paraID>
      <start>20</start>
      <end>22</end>
      <status>unmodified</status>
      <modifiedWord/>
      <trackRevisions>false</trackRevisions>
    </reviewItem>
    <reviewItem>
      <errorID>a3c55bb8-deb2-487d-967f-1989832c05eb</errorID>
      <errorWord>包括</errorWord>
      <group>L1_Word</group>
      <groupName>字词问题</groupName>
      <ability>L2_Typo</ability>
      <abilityName>字词错误</abilityName>
      <candidateList>
        <item>为</item>
      </candidateList>
      <explain/>
      <paraID>7590A46E</paraID>
      <start>65</start>
      <end>67</end>
      <status>unmodified</status>
      <modifiedWord/>
      <trackRevisions>false</trackRevisions>
    </reviewItem>
    <reviewItem>
      <errorID>1a732648-ecaa-49b6-9cee-893579bc686c</errorID>
      <errorWord>包括</errorWord>
      <group>L1_Word</group>
      <groupName>字词问题</groupName>
      <ability>L2_Typo</ability>
      <abilityName>字词错误</abilityName>
      <candidateList>
        <item>为</item>
      </candidateList>
      <explain/>
      <paraID>16500964</paraID>
      <start>16</start>
      <end>18</end>
      <status>unmodified</status>
      <modifiedWord/>
      <trackRevisions>false</trackRevisions>
    </reviewItem>
    <reviewItem>
      <errorID>9fadd087-53b6-413c-98a5-fafc9413eb3d</errorID>
      <errorWord>;</errorWord>
      <group>L1_Format</group>
      <groupName>格式问题</groupName>
      <ability>L2_HalfPunc_CN</ability>
      <abilityName>全半角问题</abilityName>
      <candidateList>
        <item>；</item>
      </candidateList>
      <explain>文本全半角错误。</explain>
      <paraID>5D87B620</paraID>
      <start>153</start>
      <end>154</end>
      <status>unmodified</status>
      <modifiedWord/>
      <trackRevisions>false</trackRevisions>
    </reviewItem>
  </reviewItems>
  <config/>
</contractReview>
</file>

<file path=customXml/itemProps1.xml><?xml version="1.0" encoding="utf-8"?>
<ds:datastoreItem xmlns:ds="http://schemas.openxmlformats.org/officeDocument/2006/customXml" ds:itemID="{3e83a3e6-a0ae-4837-9648-0337c6130820}">
  <ds:schemaRefs/>
</ds:datastoreItem>
</file>

<file path=docProps/app.xml><?xml version="1.0" encoding="utf-8"?>
<Properties xmlns="http://schemas.openxmlformats.org/officeDocument/2006/extended-properties" xmlns:vt="http://schemas.openxmlformats.org/officeDocument/2006/docPropsVTypes">
  <Pages>13</Pages>
  <Words>5573</Words>
  <Characters>6171</Characters>
  <TotalTime>3</TotalTime>
  <ScaleCrop>false</ScaleCrop>
  <LinksUpToDate>false</LinksUpToDate>
  <CharactersWithSpaces>6178</CharactersWithSpaces>
  <Application>WPS Office_12.1.0.18608_F1E327BC-269C-435d-A152-05C5408002CA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2026-08-19T11:52:00Z</dcterms:created>
  <dc:creator>Lenovo</dc:creator>
  <cp:lastModifiedBy>雨。</cp:lastModifiedBy>
  <cp:lastPrinted>2026-08-28T03:36:00Z</cp:lastPrinted>
  <dcterms:modified xsi:type="dcterms:W3CDTF">2026-08-29T13:40:21Z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89676027F6B0465A944FBC7A6C310E6C_12</vt:lpwstr>
  </property>
  <property fmtid="{D5CDD505-2E9C-101B-9397-08002B2CF9AE}" pid="4" name="KSOTemplateDocerSaveRecord">
    <vt:lpwstr>eyJoZGlkIjoiODFkN2IxNDhjZjg5NmQ2NGM2MDc2OTFlNWI4MDU2NDUiLCJ1c2VySWQiOiI2NzcwNzU0ODgifQ==</vt:lpwstr>
  </property>
</Properties>
</file>