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38ACE">
      <w:pPr>
        <w:widowControl/>
        <w:spacing w:before="0" w:beforeLines="0" w:beforeAutospacing="0" w:after="0" w:afterLines="0" w:afterAutospacing="0" w:line="240" w:lineRule="auto"/>
        <w:jc w:val="left"/>
        <w:rPr>
          <w:rFonts w:ascii="宋体" w:eastAsia="宋体"/>
          <w:sz w:val="32"/>
          <w:szCs w:val="32"/>
        </w:rPr>
      </w:pPr>
    </w:p>
    <w:p w14:paraId="6C02B081">
      <w:pPr>
        <w:widowControl/>
        <w:spacing w:before="0" w:beforeLines="0" w:beforeAutospacing="0" w:after="0" w:afterLines="0" w:afterAutospacing="0" w:line="240" w:lineRule="auto"/>
        <w:jc w:val="left"/>
        <w:rPr>
          <w:rFonts w:ascii="宋体" w:eastAsia="宋体"/>
          <w:sz w:val="44"/>
          <w:szCs w:val="44"/>
        </w:rPr>
      </w:pPr>
    </w:p>
    <w:p w14:paraId="1283C975">
      <w:pPr>
        <w:widowControl/>
        <w:spacing w:before="0" w:beforeLines="0" w:beforeAutospacing="0" w:after="0" w:afterLines="0" w:afterAutospacing="0" w:line="240" w:lineRule="auto"/>
        <w:jc w:val="left"/>
        <w:rPr>
          <w:rFonts w:ascii="宋体" w:eastAsia="宋体"/>
          <w:sz w:val="44"/>
          <w:szCs w:val="44"/>
        </w:rPr>
      </w:pPr>
    </w:p>
    <w:p w14:paraId="16396F4A">
      <w:pPr>
        <w:widowControl/>
        <w:spacing w:before="0" w:beforeLines="0" w:beforeAutospacing="0" w:after="0" w:afterLines="0" w:afterAutospacing="0" w:line="240" w:lineRule="auto"/>
        <w:jc w:val="left"/>
        <w:rPr>
          <w:rFonts w:ascii="宋体" w:eastAsia="宋体"/>
          <w:sz w:val="44"/>
          <w:szCs w:val="44"/>
        </w:rPr>
      </w:pPr>
    </w:p>
    <w:p w14:paraId="50367A3E">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新疆林科院森林生态研究所</w:t>
      </w:r>
    </w:p>
    <w:p w14:paraId="675B9998">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4375E8C9">
      <w:pPr>
        <w:widowControl/>
      </w:pPr>
      <w:r>
        <w:rPr>
          <w:b w:val="0"/>
          <w:sz w:val="0"/>
          <w:szCs w:val="0"/>
        </w:rPr>
        <w:br w:type="page"/>
      </w:r>
    </w:p>
    <w:p w14:paraId="66D3F74F">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65E3B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419BA03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120EB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7813F9C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3D3E823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4E74C16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B78EC8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6079A5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1BC6866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D8BDB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54B70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74572AD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0DC879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495CB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7B6CD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8DEA1A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28D64D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0DE89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6D6B8C0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617AD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799F423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CD6CD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1BE42AB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40ABCD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78B199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5A7128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5D92C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309DC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24F7AE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240A0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6F0A65D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37312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CE1A2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09D17A16">
      <w:pPr>
        <w:widowControl/>
      </w:pPr>
      <w:r>
        <w:rPr>
          <w:b w:val="0"/>
          <w:sz w:val="0"/>
          <w:szCs w:val="0"/>
        </w:rPr>
        <w:br w:type="page"/>
      </w:r>
    </w:p>
    <w:p w14:paraId="0AE6742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0D777F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709D9C3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主要承担森林资源保护与生态环境建设研究、森林昆虫、病理、生物防治、森林消防、野生动物与湿地研究、天然林保护工程、生态环境评估、森林植物、水源涵养与水土保持、森林培育、植物生理生化、遗传育种培养、林区资源经营开发利用的研究，以及森林旅游景观规划设计的研究。</w:t>
      </w:r>
    </w:p>
    <w:p w14:paraId="42879E1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8BDF20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新疆林科院森林生态研究所无下属预算单位。</w:t>
      </w:r>
    </w:p>
    <w:p w14:paraId="63E6FF81">
      <w:pPr>
        <w:widowControl/>
      </w:pPr>
      <w:r>
        <w:rPr>
          <w:b w:val="0"/>
          <w:sz w:val="0"/>
          <w:szCs w:val="0"/>
        </w:rPr>
        <w:br w:type="page"/>
      </w:r>
    </w:p>
    <w:p w14:paraId="0ACB9FD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6C94AEE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3AE899A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2025年度收入总计1,970.72万元，其中：本年收入合计1,327.52万元，使用非财政拨款结余（含专用结余）0.00万元，年初结转和结余643.20万元。</w:t>
      </w:r>
    </w:p>
    <w:p w14:paraId="41F59D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2025年度支出总计1,970.72万元，其中：本年支出合计1,625.01万元，结余分配0.00万元，年末结转和结余345.70万元。</w:t>
      </w:r>
    </w:p>
    <w:p w14:paraId="73B8A8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收入支出总体与上年相比，减少1,100.85万元，下降35.84%，主要原因是：本年在职人员</w:t>
      </w:r>
      <w:r>
        <w:rPr>
          <w:rFonts w:hint="eastAsia" w:ascii="仿宋_GB2312" w:eastAsia="仿宋_GB2312"/>
          <w:b w:val="0"/>
          <w:sz w:val="32"/>
          <w:szCs w:val="32"/>
          <w:lang w:val="en-US" w:eastAsia="zh-CN"/>
        </w:rPr>
        <w:t>减少</w:t>
      </w:r>
      <w:r>
        <w:rPr>
          <w:rFonts w:ascii="仿宋_GB2312" w:eastAsia="仿宋_GB2312"/>
          <w:b w:val="0"/>
          <w:sz w:val="32"/>
          <w:szCs w:val="32"/>
        </w:rPr>
        <w:t>，相关人员经费</w:t>
      </w:r>
      <w:r>
        <w:rPr>
          <w:rFonts w:hint="eastAsia" w:ascii="仿宋_GB2312" w:eastAsia="仿宋_GB2312"/>
          <w:b w:val="0"/>
          <w:sz w:val="32"/>
          <w:szCs w:val="32"/>
          <w:lang w:val="en-US" w:eastAsia="zh-CN"/>
        </w:rPr>
        <w:t>减少</w:t>
      </w:r>
      <w:r>
        <w:rPr>
          <w:rFonts w:ascii="仿宋_GB2312" w:eastAsia="仿宋_GB2312"/>
          <w:b w:val="0"/>
          <w:sz w:val="32"/>
          <w:szCs w:val="32"/>
        </w:rPr>
        <w:t>，中央财政林业草原生态保护恢复资金-森林资源培育、自治区财政林草科技-科技推广与转化、野生动植物资源本底调查等项目资金较上年</w:t>
      </w:r>
      <w:r>
        <w:rPr>
          <w:rFonts w:hint="eastAsia" w:ascii="仿宋_GB2312" w:eastAsia="仿宋_GB2312"/>
          <w:b w:val="0"/>
          <w:sz w:val="32"/>
          <w:szCs w:val="32"/>
          <w:lang w:val="en-US" w:eastAsia="zh-CN"/>
        </w:rPr>
        <w:t>减少</w:t>
      </w:r>
      <w:r>
        <w:rPr>
          <w:rFonts w:ascii="仿宋_GB2312" w:eastAsia="仿宋_GB2312"/>
          <w:b w:val="0"/>
          <w:sz w:val="32"/>
          <w:szCs w:val="32"/>
        </w:rPr>
        <w:t>。</w:t>
      </w:r>
    </w:p>
    <w:p w14:paraId="2C73923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CF76D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1,327.52万元，其中：财政拨款收入1,087.64万元,占81.93%；上级补助收入0.00万元,占0.00%；事业收入238.61万元，占17.97%；经营收入0.00万元,占0.00%；附属单位上缴收入0.00万元，占0.00%；其他收入1.27万元，占0.10%。</w:t>
      </w:r>
    </w:p>
    <w:p w14:paraId="7A10721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4E69C6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本年支出1,625.01万元，其中：基本支出719.91万元，占44.30%；项目支出905.10万元，占55.70%；上缴上级支出0.00万元，占0.00%；经营支出0.00万元，占0.00%；对附属单位补助支出0.00万元，占0.00%。</w:t>
      </w:r>
    </w:p>
    <w:p w14:paraId="18BAC91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6104CF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1,087.64万元，其中：年初财政拨款结转和结余0.00万元，本年财政拨款收入1,087.64万元。财政拨款支出总计1,087.64万元，其中：年末财政拨款结转和结余0.00万元，本年财政拨款支出1,087.64万元。</w:t>
      </w:r>
    </w:p>
    <w:p w14:paraId="05FA21A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财政拨款收入支出总体与上年相比，增加139.31万元，增长14.69%，主要原因是：</w:t>
      </w:r>
      <w:r>
        <w:rPr>
          <w:rFonts w:hint="eastAsia" w:ascii="仿宋_GB2312" w:eastAsia="仿宋_GB2312"/>
          <w:b w:val="0"/>
          <w:sz w:val="32"/>
          <w:szCs w:val="32"/>
        </w:rPr>
        <w:t>一是根据政策要求，本年在职人员职业年金做实，职业年金缴费较上年增加；二是本年度新增乌鲁木齐城市绿地生物多样性保护、自治区林草专项-林业发展补助资金-行业业务管理等项目，项目经费增加，造成财政拨款收入支出总体较上年增</w:t>
      </w:r>
      <w:r>
        <w:rPr>
          <w:rFonts w:hint="eastAsia" w:ascii="仿宋_GB2312" w:eastAsia="仿宋_GB2312"/>
          <w:b w:val="0"/>
          <w:sz w:val="32"/>
          <w:szCs w:val="32"/>
          <w:lang w:val="en-US" w:eastAsia="zh-CN"/>
        </w:rPr>
        <w:t>加</w:t>
      </w:r>
      <w:r>
        <w:rPr>
          <w:rFonts w:ascii="仿宋_GB2312" w:eastAsia="仿宋_GB2312"/>
          <w:b w:val="0"/>
          <w:sz w:val="32"/>
          <w:szCs w:val="32"/>
        </w:rPr>
        <w:t>。与年初预算相比，年初预算数962.48万元，决算数1,087.64万元，预决算差异率13.00%，主要原因是：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13C5E67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E1EEC5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科研业务开展、人才队伍建设、单位运转保障等重点支出，体现在有关支出科目中。</w:t>
      </w:r>
    </w:p>
    <w:p w14:paraId="1151925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718.64万元，占比66.07%，主要用于保障单位日常履职运转、人才队伍建设及基层科研工作有序推进。具体涵盖单位在职人员工资福利、社会保障缴费等人员经费支出，保障科研人员稳定履职；覆盖办公运转、公务出行、耗材采购、设备维保等日常公用经费，维系单位常态化运转。</w:t>
      </w:r>
    </w:p>
    <w:p w14:paraId="2E833878">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700C73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2025年度一般公共预算财政拨款支出1,087.64万元，占本年支出合计的66.93%。与上年相比，增加139.31万元，增长14.69%，主要原因是：</w:t>
      </w:r>
      <w:r>
        <w:rPr>
          <w:rFonts w:hint="eastAsia" w:ascii="仿宋_GB2312" w:eastAsia="仿宋_GB2312"/>
          <w:b w:val="0"/>
          <w:sz w:val="32"/>
          <w:szCs w:val="32"/>
        </w:rPr>
        <w:t>一是根据政策要求，本年在职人员职业年金做实，职业年金缴费较上年增加；二是本年度新增乌鲁木齐城市绿地生物多样性保护、自治区林草专项-林业发展补助资金-行业业务管理等项目，项目经费增加，一般公共预算财政拨款支出较上年增加</w:t>
      </w:r>
      <w:r>
        <w:rPr>
          <w:rFonts w:ascii="仿宋_GB2312" w:eastAsia="仿宋_GB2312"/>
          <w:b w:val="0"/>
          <w:sz w:val="32"/>
          <w:szCs w:val="32"/>
        </w:rPr>
        <w:t>。与年初预算相比，年初预算数962.48万元，决算数1,087.64万元，预决算差异率13.00%，主要原因是：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071A5A3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487D98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1.科学技术支出（类）718.64万元，占66.07%。</w:t>
      </w:r>
    </w:p>
    <w:p w14:paraId="069FC7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2.节能环保支出（类）128.00万元，占11.77%。</w:t>
      </w:r>
    </w:p>
    <w:p w14:paraId="2A8CD21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3.农林水支出（类）241.00万元，占22.16%。</w:t>
      </w:r>
    </w:p>
    <w:p w14:paraId="2F42F07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6D07E71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科学技术支出（类）应用研究（款）机构运行（项）：支出决算数为718.64万元，比上年决算增加33.50万元，增长4.89%，主要原因是：</w:t>
      </w:r>
      <w:r>
        <w:rPr>
          <w:rFonts w:hint="eastAsia" w:ascii="仿宋_GB2312" w:eastAsia="仿宋_GB2312"/>
          <w:b w:val="0"/>
          <w:sz w:val="32"/>
          <w:szCs w:val="32"/>
        </w:rPr>
        <w:t>一是根据政策要求，本年在职人员职业年金做实，职业年金缴费较上年增加；二是本年在职人员增加，在职人员工资调增、社保、公积金基数调增，人员经费增加</w:t>
      </w:r>
      <w:r>
        <w:rPr>
          <w:rFonts w:ascii="仿宋_GB2312" w:eastAsia="仿宋_GB2312"/>
          <w:b w:val="0"/>
          <w:sz w:val="32"/>
          <w:szCs w:val="32"/>
        </w:rPr>
        <w:t>。</w:t>
      </w:r>
    </w:p>
    <w:p w14:paraId="7B70F3E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0.00万元，比上年决算减少2.02万元，下降100.00%，主要原因是：“三区”科技人才支持计划项目已于上年结项，本年度未安排其他科技条件与服务专项经费。</w:t>
      </w:r>
    </w:p>
    <w:p w14:paraId="4EFB78D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节能环保支出（类）自然生态保护（款）生物及物种资源保护（项）：支出决算数为128.00万元，比上年决算减少32.04万元，下降20.02%，主要原因是：本年度中央财政林业草原生态保护恢复资金-国家</w:t>
      </w:r>
      <w:r>
        <w:rPr>
          <w:rFonts w:hint="eastAsia" w:ascii="仿宋_GB2312" w:eastAsia="仿宋_GB2312"/>
          <w:b w:val="0"/>
          <w:sz w:val="32"/>
          <w:szCs w:val="32"/>
          <w:lang w:eastAsia="zh-CN"/>
        </w:rPr>
        <w:t>重点保护野生动植物</w:t>
      </w:r>
      <w:bookmarkStart w:id="0" w:name="_GoBack"/>
      <w:bookmarkEnd w:id="0"/>
      <w:r>
        <w:rPr>
          <w:rFonts w:ascii="仿宋_GB2312" w:eastAsia="仿宋_GB2312"/>
          <w:b w:val="0"/>
          <w:sz w:val="32"/>
          <w:szCs w:val="32"/>
        </w:rPr>
        <w:t>保护项目经费较上年减少，造成该项支出决算数较上年有所减少。</w:t>
      </w:r>
    </w:p>
    <w:p w14:paraId="2064A6E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农林水支出（类）农业农村（款）科技转化与推广服务（项）：支出决算数为0.00万元，比上年决算减少11.00万元，下降100.00%，主要原因是：本年度未安排中央财政林业草原科技推广资金-科技转化与推广项目经费，造成该项支出决算数较上年减少。</w:t>
      </w:r>
    </w:p>
    <w:p w14:paraId="458EF77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100.00万元，比上年决算增加69.88万元，增长232.01%，主要原因是：本年度新增乌鲁木齐城市绿地生物多样性保护项目，项目经费增加，造成该项支出决算数较上年增加。</w:t>
      </w:r>
    </w:p>
    <w:p w14:paraId="2CAAA46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农林水支出（类）林业和草原（款）林业草原防灾减灾（项）：支出决算数为33.00万元，比上年决算增加33.00万元，增长100.00%，主要原因是：本年度新增自治区林草专项-林业</w:t>
      </w:r>
      <w:r>
        <w:rPr>
          <w:rFonts w:hint="eastAsia" w:ascii="仿宋_GB2312" w:eastAsia="仿宋_GB2312"/>
          <w:b w:val="0"/>
          <w:sz w:val="32"/>
          <w:szCs w:val="32"/>
          <w:lang w:val="en-US" w:eastAsia="zh-CN"/>
        </w:rPr>
        <w:t>草原</w:t>
      </w:r>
      <w:r>
        <w:rPr>
          <w:rFonts w:ascii="仿宋_GB2312" w:eastAsia="仿宋_GB2312"/>
          <w:b w:val="0"/>
          <w:sz w:val="32"/>
          <w:szCs w:val="32"/>
        </w:rPr>
        <w:t>防灾减灾项目，项目经费增加，造成该项支出决算数较上年增加。</w:t>
      </w:r>
    </w:p>
    <w:p w14:paraId="1BCB1A4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行业业务管理（项）：支出决算数为108.00万元，比上年决算增加108.00万元，增长100.00%，主要原因是：本年度新增自治区林草专项-林业发展补助资金-行业业务管理项目，相应经费增加，造成该项支出决算</w:t>
      </w:r>
      <w:r>
        <w:rPr>
          <w:rFonts w:hint="eastAsia" w:ascii="仿宋_GB2312" w:eastAsia="仿宋_GB2312"/>
          <w:b w:val="0"/>
          <w:sz w:val="32"/>
          <w:szCs w:val="32"/>
          <w:lang w:eastAsia="zh-CN"/>
        </w:rPr>
        <w:t>数较</w:t>
      </w:r>
      <w:r>
        <w:rPr>
          <w:rFonts w:ascii="仿宋_GB2312" w:eastAsia="仿宋_GB2312"/>
          <w:b w:val="0"/>
          <w:sz w:val="32"/>
          <w:szCs w:val="32"/>
        </w:rPr>
        <w:t>上年增长。</w:t>
      </w:r>
    </w:p>
    <w:p w14:paraId="4C76752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60.00万元，下降100.00%，主要原因是：自治区林草专项-林业发展补助资金-其他林业和草原项目已于上年完成，本年度未安排相关资金，造成该项支出决算数较上年减少。</w:t>
      </w:r>
    </w:p>
    <w:p w14:paraId="054752F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45E17D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718.64万元，其中：人员经费675.73万元，包括：基本工资、津贴补贴、奖金、绩效工资、机关事业单位基本养老保险缴费、职业年金缴费、职工基本医疗保险缴费、公务员医疗补助缴费、其他社会保障缴费、住房公积金、退休费和其他对个人和家庭的补助。</w:t>
      </w:r>
    </w:p>
    <w:p w14:paraId="7C486E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公用经费42.91万元，包括：办公费、水费、电费、邮电费、取暖费、差旅费、维修（护）费、专用材料费、劳务费、委托业务费、工会经费、福利费、公务用车运行维护费和税金及附加费用。</w:t>
      </w:r>
    </w:p>
    <w:p w14:paraId="49B54EF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5D6D42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6F0EC4E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458D140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FB2C0F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2CEE36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1.80万元，比上年减少0.02万元，下降1.10%，主要原因是：严格落实中央八项规定精神，厉行节约，减少公务用车运行维护费。其中：因公出国（境）费用支出0.00万元,占0.00%，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2024年度与2025年度均未安排因公出国（境）费用；公务用车购置及运行维护费支出1.80万元，占100.00%，比上年减少0.02万元，下降1.10%，主要原因是：严格落实中央八项规定精神，厉行节约，减少公务用车运行维护费；公务接待费支出0.00万元，占0.00%，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2024年度与2025年度均未安排公务接待费。</w:t>
      </w:r>
    </w:p>
    <w:p w14:paraId="64A34F2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779CE0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2025年度未安排因公出国（境）费用。单位全年安排的因公出国（境）团组0个，因公出国（境）0人次。</w:t>
      </w:r>
    </w:p>
    <w:p w14:paraId="0B7AB2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1.80万元，其中：公务用车购置费0.00万元，公务用车运行维护费1.80万元。公务用车运行维护费开支内容包括公务用车燃油费、车辆维修维护费、保险费、过路费等。公务用车购置数0辆，公务用车保有量3辆。国有资产占用情况中固定资产车辆3辆，与公务用车保有量差异原因是：本单位公务用车保有量与固定资产车辆一致无差异。</w:t>
      </w:r>
    </w:p>
    <w:p w14:paraId="208D35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2025年度未安排公务接待费。单位全年安排的国内公务接待0批次，0人次。</w:t>
      </w:r>
    </w:p>
    <w:p w14:paraId="197E065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2.20万元，决算数1.80万元，预决算差异率-18.18%，主要原因是：本年度严格落实厉行节约要求，规范公务用车使用管理，优化用车调度机制，非必要公务出行大幅压缩，实际车辆燃油费支出低于年初预算数，形成预决算差异。其中：因公出国（境）费用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因公出国（境）费用；公务用车购置费全年预算数0.00万元，决算数0.00万元，预决算差异率0.00%，主要原因是：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购置费；公务用车运行维护费全年预算数2.20万元，决算数1.80万元，预决算差异率-18.18%，主要原因是：本年度严格落实厉行节约要求，规范公务用车使用管理，优化用车调度机制，非必要公务出行大幅压缩，实际车辆燃油费支出低于年初预算数，形成预决算差异；公务接待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w:t>
      </w:r>
    </w:p>
    <w:p w14:paraId="0F4B0A5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070DDCA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7F398DE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林科院森林生态研究所（事业单位）公用经费支出42.91万元，比上年减少10.60万元，下降19.81%，主要原因是：本年度严格贯彻落实党政机关坚持过紧日子、厉行勤俭节约的工作要求，进一步规范公务运行、物资采购、设备运维、差旅会务等公用经费使用，从严管控一般性、非刚性、非急需支出，持续压减低效、无效开支，致使本年度公用经费支出较上年大幅下降。</w:t>
      </w:r>
    </w:p>
    <w:p w14:paraId="2A717A7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390E43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2025年度政府采购支出总额0.45万元，其中：政府采购货物支出0.20万元、政府采购工程支出0.00万元、政府采购服务支出0.25万元。</w:t>
      </w:r>
    </w:p>
    <w:p w14:paraId="362CDF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授予中小企业合同金额0.20万元，占政府采购支出总额的44.44%，其中：授予小微企业合同金额0.20万元，占政府采购支出总额的44.44%。</w:t>
      </w:r>
    </w:p>
    <w:p w14:paraId="783D3A2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1CC85F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650.00平方米，价值34.63万元。车辆3辆，价值56.19万元，其中：副部（省）级及以上领导用车0辆、主要负责人用车0辆、机要通信用车0辆、应急保障用车0辆、执法执勤用车0辆、特种专业技术用车1辆、离退休干部服务用车0辆、其他用车2辆，其他用车主要是：单位日常运行用车;单价100万元（含）以上设备（不含车辆）0台（套）。</w:t>
      </w:r>
    </w:p>
    <w:p w14:paraId="6EF2838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04C9D1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1,736.96万元，全年执行数1,736.96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3AC426A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07855D9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4329F218">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78C266D">
      <w:pPr>
        <w:widowControl/>
      </w:pPr>
      <w:r>
        <w:rPr>
          <w:b w:val="0"/>
          <w:sz w:val="0"/>
          <w:szCs w:val="0"/>
        </w:rPr>
        <w:br w:type="page"/>
      </w:r>
    </w:p>
    <w:p w14:paraId="2BE5D8A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0E8DB07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6D6A9A0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1D799D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390A68F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69005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61695E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62C9A6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992F54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0A6F27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9E7859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3B3C5F1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B25C21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73B3A1E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62138C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598DB949">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2094C8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31FFBF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594468D8">
      <w:pPr>
        <w:widowControl/>
      </w:pPr>
      <w:r>
        <w:rPr>
          <w:b w:val="0"/>
          <w:sz w:val="0"/>
          <w:szCs w:val="0"/>
        </w:rPr>
        <w:br w:type="page"/>
      </w:r>
    </w:p>
    <w:p w14:paraId="2B5A751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5227B8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2754B2A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D16A33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22E31F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3E2961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A32D60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5E7088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F614B2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592352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A973ADB"/>
    <w:rsid w:val="0DC34F20"/>
    <w:rsid w:val="0F6B413A"/>
    <w:rsid w:val="16EC3BC6"/>
    <w:rsid w:val="1F800C73"/>
    <w:rsid w:val="24621B7A"/>
    <w:rsid w:val="364E5648"/>
    <w:rsid w:val="53410C7F"/>
    <w:rsid w:val="544710D7"/>
    <w:rsid w:val="5BD418EB"/>
    <w:rsid w:val="7C5D3326"/>
    <w:rsid w:val="7CB56E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c9ff3bfc-625f-49ee-a531-c4266edfc1a7</errorID>
      <errorWord>、</errorWord>
      <group>L1_Punc</group>
      <groupName>标点问题</groupName>
      <ability>L2_Punc_CN</ability>
      <abilityName>标点符号问题</abilityName>
      <candidateList>
        <item>，</item>
      </candidateList>
      <explain/>
      <paraID>709D9C37</paraID>
      <start>19</start>
      <end>20</end>
      <status>unmodified</status>
      <modifiedWord/>
      <trackRevisions>false</trackRevisions>
    </reviewItem>
    <reviewItem>
      <errorID>257ddc68-09d1-4565-bea0-8e886ec7ac6c</errorID>
      <errorWord>的</errorWord>
      <group>L1_Grammar</group>
      <groupName>语法问题</groupName>
      <ability>L2_Grammar</ability>
      <abilityName>语法错误</abilityName>
      <candidateList>
        <item>等方面的</item>
      </candidateList>
      <explain/>
      <paraID>709D9C37</paraID>
      <start>107</start>
      <end>108</end>
      <status>unmodified</status>
      <modifiedWord/>
      <trackRevisions>false</trackRevisions>
    </reviewItem>
    <reviewItem>
      <errorID>fdc8b38f-5566-4f78-af84-580d56261dd6</errorID>
      <errorWord>-</errorWord>
      <group>L1_Format</group>
      <groupName>格式问题</groupName>
      <ability>L2_HalfPunc_CN</ability>
      <abilityName>全半角问题</abilityName>
      <candidateList>
        <item>－</item>
      </candidateList>
      <explain>文本全半角错误。</explain>
      <paraID>73B8A831</paraID>
      <start>74</start>
      <end>75</end>
      <status>unmodified</status>
      <modifiedWord/>
      <trackRevisions>false</trackRevisions>
    </reviewItem>
    <reviewItem>
      <errorID>875b9b12-604c-46d3-a3dd-0d3f6eabfab6</errorID>
      <errorWord>-</errorWord>
      <group>L1_Format</group>
      <groupName>格式问题</groupName>
      <ability>L2_HalfPunc_CN</ability>
      <abilityName>全半角问题</abilityName>
      <candidateList>
        <item>－</item>
      </candidateList>
      <explain>文本全半角错误。</explain>
      <paraID>73B8A831</paraID>
      <start>91</start>
      <end>92</end>
      <status>unmodified</status>
      <modifiedWord/>
      <trackRevisions>false</trackRevisions>
    </reviewItem>
    <reviewItem>
      <errorID>5ceff1d0-feb4-4a3a-a426-c95d373e74f5</errorID>
      <errorWord>,</errorWord>
      <group>L1_Format</group>
      <groupName>格式问题</groupName>
      <ability>L2_HalfPunc_CN</ability>
      <abilityName>全半角问题</abilityName>
      <candidateList>
        <item>，</item>
      </candidateList>
      <explain>文本全半角错误。</explain>
      <paraID>3CF76DA3</paraID>
      <start>34</start>
      <end>35</end>
      <status>unmodified</status>
      <modifiedWord/>
      <trackRevisions>false</trackRevisions>
    </reviewItem>
    <reviewItem>
      <errorID>820220ef-848c-4d5d-b8a6-870700b65992</errorID>
      <errorWord>,</errorWord>
      <group>L1_Format</group>
      <groupName>格式问题</groupName>
      <ability>L2_HalfPunc_CN</ability>
      <abilityName>全半角问题</abilityName>
      <candidateList>
        <item>，</item>
      </candidateList>
      <explain>文本全半角错误。</explain>
      <paraID>3CF76DA3</paraID>
      <start>55</start>
      <end>56</end>
      <status>unmodified</status>
      <modifiedWord/>
      <trackRevisions>false</trackRevisions>
    </reviewItem>
    <reviewItem>
      <errorID>f20bbbd1-1882-4a88-9c24-f16c46cd28c7</errorID>
      <errorWord>,</errorWord>
      <group>L1_Format</group>
      <groupName>格式问题</groupName>
      <ability>L2_HalfPunc_CN</ability>
      <abilityName>全半角问题</abilityName>
      <candidateList>
        <item>，</item>
      </candidateList>
      <explain>文本全半角错误。</explain>
      <paraID>3CF76DA3</paraID>
      <start>94</start>
      <end>95</end>
      <status>unmodified</status>
      <modifiedWord/>
      <trackRevisions>false</trackRevisions>
    </reviewItem>
    <reviewItem>
      <errorID>e4c30a39-4c96-48cc-b952-12ff67fb2035</errorID>
      <errorWord>-</errorWord>
      <group>L1_Format</group>
      <groupName>格式问题</groupName>
      <ability>L2_HalfPunc_CN</ability>
      <abilityName>全半角问题</abilityName>
      <candidateList>
        <item>－</item>
      </candidateList>
      <explain>文本全半角错误。</explain>
      <paraID> 5FA21AE</paraID>
      <start>106</start>
      <end>107</end>
      <status>unmodified</status>
      <modifiedWord/>
      <trackRevisions>false</trackRevisions>
    </reviewItem>
    <reviewItem>
      <errorID>dcc4858d-44f2-4164-a9e6-8852fa37c70d</errorID>
      <errorWord>-</errorWord>
      <group>L1_Format</group>
      <groupName>格式问题</groupName>
      <ability>L2_HalfPunc_CN</ability>
      <abilityName>全半角问题</abilityName>
      <candidateList>
        <item>－</item>
      </candidateList>
      <explain>文本全半角错误。</explain>
      <paraID> 5FA21AE</paraID>
      <start>115</start>
      <end>116</end>
      <status>unmodified</status>
      <modifiedWord/>
      <trackRevisions>false</trackRevisions>
    </reviewItem>
    <reviewItem>
      <errorID>0121e2f4-2e83-4e66-a383-0d678b65988a</errorID>
      <errorWord>-</errorWord>
      <group>L1_Format</group>
      <groupName>格式问题</groupName>
      <ability>L2_HalfPunc_CN</ability>
      <abilityName>全半角问题</abilityName>
      <candidateList>
        <item>－</item>
      </candidateList>
      <explain>文本全半角错误。</explain>
      <paraID>700C73BA</paraID>
      <start>140</start>
      <end>141</end>
      <status>unmodified</status>
      <modifiedWord/>
      <trackRevisions>false</trackRevisions>
    </reviewItem>
    <reviewItem>
      <errorID>c1669bc8-3c28-4117-a156-459015a61259</errorID>
      <errorWord>-</errorWord>
      <group>L1_Format</group>
      <groupName>格式问题</groupName>
      <ability>L2_HalfPunc_CN</ability>
      <abilityName>全半角问题</abilityName>
      <candidateList>
        <item>－</item>
      </candidateList>
      <explain>文本全半角错误。</explain>
      <paraID>700C73BA</paraID>
      <start>149</start>
      <end>150</end>
      <status>unmodified</status>
      <modifiedWord/>
      <trackRevisions>false</trackRevisions>
    </reviewItem>
    <reviewItem>
      <errorID>110958af-ed24-4151-be81-9a5ba30c1e48</errorID>
      <errorWord>-</errorWord>
      <group>L1_Format</group>
      <groupName>格式问题</groupName>
      <ability>L2_HalfPunc_CN</ability>
      <abilityName>全半角问题</abilityName>
      <candidateList>
        <item>－</item>
      </candidateList>
      <explain>文本全半角错误。</explain>
      <paraID>4EFB78D5</paraID>
      <start>97</start>
      <end>98</end>
      <status>unmodified</status>
      <modifiedWord/>
      <trackRevisions>false</trackRevisions>
    </reviewItem>
    <reviewItem>
      <errorID>29b7b8ce-7ff8-4daf-81c7-eee177b61800</errorID>
      <errorWord>重点野生动植物</errorWord>
      <group>L1_Word</group>
      <groupName>字词问题</groupName>
      <ability>L2_Typo</ability>
      <abilityName>字词错误</abilityName>
      <candidateList>
        <item>重点保护野生动植物</item>
      </candidateList>
      <explain/>
      <paraID>4EFB78D5</paraID>
      <start>100</start>
      <end>107</end>
      <status>unmodified</status>
      <modifiedWord/>
      <trackRevisions>false</trackRevisions>
    </reviewItem>
    <reviewItem>
      <errorID>83c11511-5ceb-44f4-bf02-05cfc4f0e4c2</errorID>
      <errorWord>科技转化与推广服务</errorWord>
      <group>L1_Other</group>
      <groupName>其他问题</groupName>
      <ability>L2_Consistency</ability>
      <abilityName>一致性检查</abilityName>
      <candidateList>
        <item>技术推广与转化</item>
      </candidateList>
      <explain>术语一致性错误，同属农林水支出（类）林业和草原（款）下的林业科技推广相关项目，原文其他部分统一使用“技术推广与转化”的功能分类名称，此处表述不一致</explain>
      <paraID>2064A6E0</paraID>
      <start>17</start>
      <end>26</end>
      <status>unmodified</status>
      <modifiedWord/>
      <trackRevisions>false</trackRevisions>
    </reviewItem>
    <reviewItem>
      <errorID>23da2d01-7981-405e-86f9-2f91f6db697f</errorID>
      <errorWord>-</errorWord>
      <group>L1_Format</group>
      <groupName>格式问题</groupName>
      <ability>L2_HalfPunc_CN</ability>
      <abilityName>全半角问题</abilityName>
      <candidateList>
        <item>－</item>
      </candidateList>
      <explain>文本全半角错误。</explain>
      <paraID>2064A6E0</paraID>
      <start>94</start>
      <end>95</end>
      <status>unmodified</status>
      <modifiedWord/>
      <trackRevisions>false</trackRevisions>
    </reviewItem>
    <reviewItem>
      <errorID>87be7d75-758f-46b6-b7b9-a953480f26bc</errorID>
      <errorWord>-</errorWord>
      <group>L1_Format</group>
      <groupName>格式问题</groupName>
      <ability>L2_HalfPunc_CN</ability>
      <abilityName>全半角问题</abilityName>
      <candidateList>
        <item>－</item>
      </candidateList>
      <explain>文本全半角错误。</explain>
      <paraID>2CAAA467</paraID>
      <start>87</start>
      <end>88</end>
      <status>unmodified</status>
      <modifiedWord/>
      <trackRevisions>false</trackRevisions>
    </reviewItem>
    <reviewItem>
      <errorID>cb22e0b4-c43f-4dc4-9cbe-ea03625c0eff</errorID>
      <errorWord>-</errorWord>
      <group>L1_Format</group>
      <groupName>格式问题</groupName>
      <ability>L2_HalfPunc_CN</ability>
      <abilityName>全半角问题</abilityName>
      <candidateList>
        <item>－</item>
      </candidateList>
      <explain>文本全半角错误。</explain>
      <paraID>1BCB1A4D</paraID>
      <start>87</start>
      <end>88</end>
      <status>unmodified</status>
      <modifiedWord/>
      <trackRevisions>false</trackRevisions>
    </reviewItem>
    <reviewItem>
      <errorID>975ba100-1993-4feb-b9dc-340f7a475c05</errorID>
      <errorWord>-</errorWord>
      <group>L1_Format</group>
      <groupName>格式问题</groupName>
      <ability>L2_HalfPunc_CN</ability>
      <abilityName>全半角问题</abilityName>
      <candidateList>
        <item>－</item>
      </candidateList>
      <explain>文本全半角错误。</explain>
      <paraID>1BCB1A4D</paraID>
      <start>96</start>
      <end>97</end>
      <status>unmodified</status>
      <modifiedWord/>
      <trackRevisions>false</trackRevisions>
    </reviewItem>
    <reviewItem>
      <errorID>b468b6a2-54cd-4a44-938d-43c4ba5df273</errorID>
      <errorWord>较</errorWord>
      <group>L1_Word</group>
      <groupName>字词问题</groupName>
      <ability>L2_Typo</ability>
      <abilityName>字词错误</abilityName>
      <candidateList>
        <item>数较</item>
      </candidateList>
      <explain/>
      <paraID>1BCB1A4D</paraID>
      <start>121</start>
      <end>123</end>
      <status>modified</status>
      <modifiedWord>数较</modifiedWord>
      <trackRevisions>false</trackRevisions>
    </reviewItem>
    <reviewItem>
      <errorID>5b3a88b6-2851-4278-897d-03be904fba1c</errorID>
      <errorWord>-</errorWord>
      <group>L1_Format</group>
      <groupName>格式问题</groupName>
      <ability>L2_HalfPunc_CN</ability>
      <abilityName>全半角问题</abilityName>
      <candidateList>
        <item>－</item>
      </candidateList>
      <explain>文本全半角错误。</explain>
      <paraID>4C76752E</paraID>
      <start>82</start>
      <end>83</end>
      <status>unmodified</status>
      <modifiedWord/>
      <trackRevisions>false</trackRevisions>
    </reviewItem>
    <reviewItem>
      <errorID>88599772-c9a5-42e5-9147-0087a7e2dea3</errorID>
      <errorWord>-</errorWord>
      <group>L1_Format</group>
      <groupName>格式问题</groupName>
      <ability>L2_HalfPunc_CN</ability>
      <abilityName>全半角问题</abilityName>
      <candidateList>
        <item>－</item>
      </candidateList>
      <explain>文本全半角错误。</explain>
      <paraID>4C76752E</paraID>
      <start>91</start>
      <end>92</end>
      <status>unmodified</status>
      <modifiedWord/>
      <trackRevisions>false</trackRevisions>
    </reviewItem>
    <reviewItem>
      <errorID>71801704-d39d-4a7b-88ab-c6b624157d86</errorID>
      <errorWord>,</errorWord>
      <group>L1_Format</group>
      <groupName>格式问题</groupName>
      <ability>L2_HalfPunc_CN</ability>
      <abilityName>全半角问题</abilityName>
      <candidateList>
        <item>，</item>
      </candidateList>
      <explain>文本全半角错误。</explain>
      <paraID>2CEE36FE</paraID>
      <start>101</start>
      <end>102</end>
      <status>unmodified</status>
      <modifiedWord/>
      <trackRevisions>false</trackRevisions>
    </reviewItem>
    <reviewItem>
      <errorID>f6ab2869-f4cb-4683-ba92-3825a0e09de6</errorID>
      <errorWord>；</errorWord>
      <group>L1_Punc</group>
      <groupName>标点问题</groupName>
      <ability>L2_Punc_CN</ability>
      <abilityName>标点符号问题</abilityName>
      <candidateList>
        <item>。</item>
      </candidateList>
      <explain/>
      <paraID>2CEE36FE</paraID>
      <start>153</start>
      <end>154</end>
      <status>unmodified</status>
      <modifiedWord/>
      <trackRevisions>false</trackRevisions>
    </reviewItem>
    <reviewItem>
      <errorID>d6a8f932-cba9-437a-89f8-1baf38834108</errorID>
      <errorWord>;</errorWord>
      <group>L1_Punc</group>
      <groupName>标点问题</groupName>
      <ability>L2_Punc_CN</ability>
      <abilityName>标点符号问题</abilityName>
      <candidateList>
        <item>。</item>
      </candidateList>
      <explain/>
      <paraID>31CC85F1</paraID>
      <start>153</start>
      <end>154</end>
      <status>unmodified</status>
      <modifiedWord/>
      <trackRevisions>false</trackRevisions>
    </reviewItem>
  </reviewItems>
  <config/>
</contractReview>
</file>

<file path=customXml/itemProps1.xml><?xml version="1.0" encoding="utf-8"?>
<ds:datastoreItem xmlns:ds="http://schemas.openxmlformats.org/officeDocument/2006/customXml" ds:itemID="{7dd9e571-6a21-47c3-af6e-89240498f380}">
  <ds:schemaRefs/>
</ds:datastoreItem>
</file>

<file path=docProps/app.xml><?xml version="1.0" encoding="utf-8"?>
<Properties xmlns="http://schemas.openxmlformats.org/officeDocument/2006/extended-properties" xmlns:vt="http://schemas.openxmlformats.org/officeDocument/2006/docPropsVTypes">
  <Pages>14</Pages>
  <Words>6189</Words>
  <Characters>6870</Characters>
  <TotalTime>16</TotalTime>
  <ScaleCrop>false</ScaleCrop>
  <LinksUpToDate>false</LinksUpToDate>
  <CharactersWithSpaces>6877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2026-08-20T03:52:00Z</dcterms:created>
  <dc:creator>Lenovo</dc:creator>
  <cp:lastModifiedBy>雨。</cp:lastModifiedBy>
  <cp:lastPrinted>2026-08-28T03:39:00Z</cp:lastPrinted>
  <dcterms:modified xsi:type="dcterms:W3CDTF">2026-08-29T13:43:39Z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eyJoZGlkIjoiODFkN2IxNDhjZjg5NmQ2NGM2MDc2OTFlNWI4MDU2NDUiLCJ1c2VySWQiOiI2NzcwNzU0ODgifQ==</vt:lpwstr>
  </property>
  <property fmtid="{D5CDD505-2E9C-101B-9397-08002B2CF9AE}" pid="3" name="KSOProductBuildVer">
    <vt:lpwstr>2052-12.1.0.18608</vt:lpwstr>
  </property>
  <property fmtid="{D5CDD505-2E9C-101B-9397-08002B2CF9AE}" pid="4" name="ICV">
    <vt:lpwstr>13E21C7974A048179F102052DDD915D7_12</vt:lpwstr>
  </property>
</Properties>
</file>