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新疆维吾尔自治区林业科学院（本级）</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1.承担国家、国家林业和草原局和自治区的林业科学研究、推广、开发任务。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开展自治区干旱、半干旱和荒漠化防护林体系建设及绿洲生态的研究。</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开展自治区森林资源保护与生态环境建设，天然林保护，退耕还林的研究工作。</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承担适合自治区生长的林果业技术研究工作。</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承担自治区城市绿化、荒山绿化规划施工的研究推广，观赏园林园艺的景观设计研究工作。</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承担现代林业理论，技术等研究工作。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组织实施以林业为主题的科技扶贫、科技下乡、技术咨询、科技示范园建设等工作。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新疆维吾尔自治区林业科学院（本级）无下属预算单位。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2025年度收入总计13,840.48万元，其中：本年收入合计10,876.18万元，使用非财政拨款结余（含专用结余）0.00万元，年初结转和结余2,964.30万元。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2025年度支出总计13,840.48万元，其中：本年支出合计9,723.09万元，结余分配0.00万元，年末结转和结余4,117.40万元。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收入支出总体与上年相比，增加4,470.47万元，增长47.71%，主要原因是：一是因工资调整、社保基数上涨，人员经费较上年增加；二是</w:t>
      </w:r>
      <w:r>
        <w:rPr>
          <w:rFonts w:hint="eastAsia" w:ascii="仿宋_GB2312" w:eastAsia="仿宋_GB2312"/>
          <w:b w:val="0"/>
          <w:sz w:val="32"/>
          <w:szCs w:val="32"/>
          <w:lang w:eastAsia="zh-CN"/>
        </w:rPr>
        <w:t>沙漠边缘林草带建设关键技术研发与应用、新疆特色果种质创新与优良新品种选育、基于林果资源大数据的气象灾害智能检测研究</w:t>
      </w:r>
      <w:r>
        <w:rPr>
          <w:rFonts w:hint="eastAsia" w:ascii="仿宋_GB2312" w:eastAsia="仿宋_GB2312"/>
          <w:b w:val="0"/>
          <w:sz w:val="32"/>
          <w:szCs w:val="32"/>
          <w:lang w:val="en-US" w:eastAsia="zh-CN"/>
        </w:rPr>
        <w:t>等项目经费增加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10,876.18万元，其中：财政拨款收入4,241.89万元,占39.00%；上级补助收入0.00万元,占0.00%；事业收入6,630.10万元，占60.96%；经营收入0.00万元,占0.00%；附属单位上缴收入0.00万元，占0.00%；其他收入4.19万元，占0.04%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本年支出9,723.09万元，其中：基本支出2,434.22万元，占25.04%；项目支出7,288.86万元，占74.96%；上缴上级支出0.00万元，占0.00%；经营支出0.00万元，占0.00%；对附属单位补助支出0.00万元，占0.00%。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4,241.89万元，其中：年初财政拨款结转和结余0.00万元，本年财政拨款收入4,241.89万元。财政拨款支出总计4,241.89万元，其中：年末财政拨款结转和结余0.00万元，本年财政拨款支出4,241.89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财政拨款收入支出总体与上年相比，减少620.01万元，下降12.75%，主要原因是：</w:t>
      </w:r>
      <w:r>
        <w:rPr>
          <w:rFonts w:hint="eastAsia" w:ascii="仿宋_GB2312" w:eastAsia="仿宋_GB2312"/>
          <w:b w:val="0"/>
          <w:sz w:val="32"/>
          <w:szCs w:val="32"/>
          <w:lang w:eastAsia="zh-CN"/>
        </w:rPr>
        <w:t>本年减少新疆林科院2024年林果基地示范园（高标准示范园）建设项目、库车市核桃标准化高效栽培及推广示范项目、新疆阿克苏森林生态系统观测等</w:t>
      </w:r>
      <w:r>
        <w:rPr>
          <w:rFonts w:ascii="仿宋_GB2312" w:eastAsia="仿宋_GB2312"/>
          <w:b w:val="0"/>
          <w:sz w:val="32"/>
          <w:szCs w:val="32"/>
        </w:rPr>
        <w:t>项目</w:t>
      </w:r>
      <w:r>
        <w:rPr>
          <w:rFonts w:hint="eastAsia" w:ascii="仿宋_GB2312" w:eastAsia="仿宋_GB2312"/>
          <w:b w:val="0"/>
          <w:sz w:val="32"/>
          <w:szCs w:val="32"/>
          <w:lang w:eastAsia="zh-CN"/>
        </w:rPr>
        <w:t>，</w:t>
      </w:r>
      <w:r>
        <w:rPr>
          <w:rFonts w:ascii="仿宋_GB2312" w:eastAsia="仿宋_GB2312"/>
          <w:b w:val="0"/>
          <w:sz w:val="32"/>
          <w:szCs w:val="32"/>
        </w:rPr>
        <w:t>本年度不再安排对应财政拨款资金，财政拨款收入支出总体较上年减少。与年初预算相比，年初预算数2,890.51万元，决算数4,241.89万元，预决算差异率46.75%，主要原因是：</w:t>
      </w:r>
      <w:r>
        <w:rPr>
          <w:rFonts w:hint="eastAsia" w:ascii="仿宋_GB2312" w:eastAsia="仿宋_GB2312"/>
          <w:b w:val="0"/>
          <w:sz w:val="32"/>
          <w:szCs w:val="32"/>
          <w:lang w:eastAsia="zh-CN"/>
        </w:rPr>
        <w:t>年中追加人员工资、社保、公积金基数调增部分资金及做实2025年职业年金，年中</w:t>
      </w:r>
      <w:r>
        <w:rPr>
          <w:rFonts w:ascii="仿宋_GB2312" w:eastAsia="仿宋_GB2312"/>
          <w:b w:val="0"/>
          <w:sz w:val="32"/>
          <w:szCs w:val="32"/>
        </w:rPr>
        <w:t>追加</w:t>
      </w:r>
      <w:r>
        <w:rPr>
          <w:rFonts w:hint="eastAsia" w:ascii="仿宋_GB2312" w:eastAsia="仿宋_GB2312"/>
          <w:b w:val="0"/>
          <w:sz w:val="32"/>
          <w:szCs w:val="32"/>
        </w:rPr>
        <w:t>国家林草种质资源设施保存库新疆分库项目</w:t>
      </w:r>
      <w:r>
        <w:rPr>
          <w:rFonts w:hint="eastAsia" w:ascii="仿宋_GB2312" w:eastAsia="仿宋_GB2312"/>
          <w:b w:val="0"/>
          <w:sz w:val="32"/>
          <w:szCs w:val="32"/>
          <w:lang w:eastAsia="zh-CN"/>
        </w:rPr>
        <w:t>、2025年食用林产品质量安全监测、新疆红枣种质资源指纹图谱库等项目，导致预决算存在差异。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按照支出功能分类，（类）（款）机构运行（项）的支出占本年财政拨款支出总额的比重最高，2025年度决算数为2,220.18万元，占比52.34%，主要用于保障单位日常履职运转、人才队伍建设及基层科研工作有序推进。具体涵盖单位在职人员工资福利、社会保障缴费等人员经费支出，保障科研人员稳定履职；覆盖办公运转、公务出行、耗材采购、设备维保等日常公用经费，维系单位常态化运转。</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2025年度一般公共预算财政拨款支出4,241.89万元，占本年支出合计的43.63%。与上年相比，减少620.01万元，下降12.75%，主要原因是：</w:t>
      </w:r>
      <w:r>
        <w:rPr>
          <w:rFonts w:hint="eastAsia" w:ascii="仿宋_GB2312" w:eastAsia="仿宋_GB2312"/>
          <w:b w:val="0"/>
          <w:sz w:val="32"/>
          <w:szCs w:val="32"/>
          <w:lang w:eastAsia="zh-CN"/>
        </w:rPr>
        <w:t>本年减少</w:t>
      </w:r>
      <w:bookmarkStart w:id="0" w:name="OLE_LINK1"/>
      <w:r>
        <w:rPr>
          <w:rFonts w:hint="eastAsia" w:ascii="仿宋_GB2312" w:eastAsia="仿宋_GB2312"/>
          <w:b w:val="0"/>
          <w:sz w:val="32"/>
          <w:szCs w:val="32"/>
          <w:lang w:eastAsia="zh-CN"/>
        </w:rPr>
        <w:t>新疆林科院2024年林果基地示范园（高标准示范园）建设、库车市核桃标准化高效栽培及推广示范、新疆阿克苏森林生态系统观测等项目</w:t>
      </w:r>
      <w:bookmarkEnd w:id="0"/>
      <w:r>
        <w:rPr>
          <w:rFonts w:ascii="仿宋_GB2312" w:eastAsia="仿宋_GB2312"/>
          <w:b w:val="0"/>
          <w:sz w:val="32"/>
          <w:szCs w:val="32"/>
        </w:rPr>
        <w:t>，财政拨款收入支出总体较上年减少。与年初预算相比，年初预算数2,890.51万元，决算数4,241.89万元，预决算差异率46.75%，主要原因是：</w:t>
      </w:r>
      <w:r>
        <w:rPr>
          <w:rFonts w:hint="eastAsia" w:ascii="仿宋_GB2312" w:eastAsia="仿宋_GB2312"/>
          <w:b w:val="0"/>
          <w:sz w:val="32"/>
          <w:szCs w:val="32"/>
        </w:rPr>
        <w:t>年中追加人员工资、社保、公积金基数调增部分资金及做实2025年职业年金，年中追加</w:t>
      </w:r>
      <w:r>
        <w:rPr>
          <w:rFonts w:hint="eastAsia" w:ascii="仿宋_GB2312" w:eastAsia="仿宋_GB2312"/>
          <w:b w:val="0"/>
          <w:sz w:val="32"/>
          <w:szCs w:val="32"/>
          <w:lang w:val="en-US" w:eastAsia="zh-CN"/>
        </w:rPr>
        <w:t>新疆葡萄酒主要产品质量安全评价技术及应用、森林生态系统定位观测研究</w:t>
      </w:r>
      <w:r>
        <w:rPr>
          <w:rFonts w:hint="eastAsia" w:ascii="仿宋_GB2312" w:eastAsia="仿宋_GB2312"/>
          <w:b w:val="0"/>
          <w:sz w:val="32"/>
          <w:szCs w:val="32"/>
        </w:rPr>
        <w:t>项目等，导致预决算存在差异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1.科学技术支出（类）2,448.51万元，占57.72%。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2.社会保障和就业支出（类）149.66万元，占3.53%。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3.卫生健康支出（类）17.71万元，占0.42%。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4.农林水支出（类）1,613.75万元，占38.04%。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5.住房保障支出（类）12.26万元，占0.29%。</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199.21万元，比上年决算增加84.93万元，增长74.32%，主要原因是：2025年度新增科研创新平台人才团队支持计划项目，相应经费增加，因此支出决算数比上年决算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科学技术支出（类）应用研究（款）机构运行（项）：支出决算数为2,220.18万元，比上年决算增加399.90万元，增长21.97%，主要原因是：</w:t>
      </w:r>
      <w:r>
        <w:rPr>
          <w:rFonts w:hint="eastAsia" w:ascii="仿宋_GB2312" w:eastAsia="仿宋_GB2312"/>
          <w:b w:val="0"/>
          <w:sz w:val="32"/>
          <w:szCs w:val="32"/>
          <w:lang w:val="en-US" w:eastAsia="zh-CN"/>
        </w:rPr>
        <w:t>一是</w:t>
      </w:r>
      <w:r>
        <w:rPr>
          <w:rFonts w:hint="eastAsia" w:ascii="仿宋_GB2312" w:eastAsia="仿宋_GB2312"/>
          <w:b w:val="0"/>
          <w:sz w:val="32"/>
          <w:szCs w:val="32"/>
        </w:rPr>
        <w:t>本年在职人员工资调增，社保、公积金基数调增，人员经费增加；</w:t>
      </w:r>
      <w:r>
        <w:rPr>
          <w:rFonts w:hint="eastAsia" w:ascii="仿宋_GB2312" w:eastAsia="仿宋_GB2312"/>
          <w:b w:val="0"/>
          <w:sz w:val="32"/>
          <w:szCs w:val="32"/>
          <w:lang w:val="en-US" w:eastAsia="zh-CN"/>
        </w:rPr>
        <w:t>二是</w:t>
      </w:r>
      <w:r>
        <w:rPr>
          <w:rFonts w:hint="eastAsia" w:ascii="仿宋_GB2312" w:eastAsia="仿宋_GB2312"/>
          <w:b w:val="0"/>
          <w:sz w:val="32"/>
          <w:szCs w:val="32"/>
        </w:rPr>
        <w:t>根据政策要求，本年在职人员职业年金做实，职业年金缴费较上年增加。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社会公益研究（项）：支出决算数为0.00万元，比上年决算减少100.00万元，下降100.00%，主要原因是：2025年度未安排新疆树木园用工维护费项目，因此支出决算数比上年决算减少。</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29.12万元，比上年决算增加14.97万元，增长105.80%，主要原因是：2025年度新增第二批“三区”人才发展基金项目，因此支出决算数比上年决算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社会保障和就业支出（类）人力资源和社会保障管理事务（款）其他人力资源和社会保障管理事务支出（项）：支出决算数为103.00万元，比上年决算增加28.00万元，增长37.33%，主要原因是：2025年新增天池英才项目，因此支出决算数比上年决算数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6</w:t>
      </w:r>
      <w:r>
        <w:rPr>
          <w:rFonts w:hint="eastAsia" w:ascii="仿宋_GB2312" w:eastAsia="仿宋_GB2312"/>
          <w:b w:val="0"/>
          <w:sz w:val="32"/>
          <w:szCs w:val="32"/>
          <w:lang w:eastAsia="zh-CN"/>
        </w:rPr>
        <w:t>.</w:t>
      </w:r>
      <w:r>
        <w:rPr>
          <w:rFonts w:ascii="仿宋_GB2312" w:eastAsia="仿宋_GB2312"/>
          <w:b w:val="0"/>
          <w:sz w:val="32"/>
          <w:szCs w:val="32"/>
        </w:rPr>
        <w:t>社会保障和就业支出（类）行政事业单位养老支出（款）事业单位离退休（项）：支出决算数为30.67万元，比上年决算增加30.67万元，增长100.00%，主要原因是：</w:t>
      </w:r>
      <w:r>
        <w:rPr>
          <w:rFonts w:hint="eastAsia" w:ascii="仿宋_GB2312" w:eastAsia="仿宋_GB2312"/>
          <w:b w:val="0"/>
          <w:sz w:val="32"/>
          <w:szCs w:val="32"/>
        </w:rPr>
        <w:t>2025年因机构改革原因，原自治区林业生态总站合并至本单位，自治区林业生态总站退休人员经费单独科目列支，导致经费较上年增加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7</w:t>
      </w:r>
      <w:r>
        <w:rPr>
          <w:rFonts w:hint="eastAsia" w:ascii="仿宋_GB2312" w:eastAsia="仿宋_GB2312"/>
          <w:b w:val="0"/>
          <w:sz w:val="32"/>
          <w:szCs w:val="32"/>
          <w:lang w:eastAsia="zh-CN"/>
        </w:rPr>
        <w:t>.</w:t>
      </w:r>
      <w:r>
        <w:rPr>
          <w:rFonts w:ascii="仿宋_GB2312" w:eastAsia="仿宋_GB2312"/>
          <w:b w:val="0"/>
          <w:sz w:val="32"/>
          <w:szCs w:val="32"/>
        </w:rPr>
        <w:t>社会保障和就业支出（类）行政事业单位养老支出（款）机关事业单位基本养老保险缴费支出（项）：支出决算数为15.99万元，比上年决算增加15.99万元，增长100.00%，主要原因是：</w:t>
      </w:r>
      <w:r>
        <w:rPr>
          <w:rFonts w:hint="eastAsia" w:ascii="仿宋_GB2312" w:eastAsia="仿宋_GB2312"/>
          <w:b w:val="0"/>
          <w:sz w:val="32"/>
          <w:szCs w:val="32"/>
        </w:rPr>
        <w:t>2025年因机构改革原因，原自治区林业生态总站合并至本单位，自治区林业生态总站退休人员经费单独科目列支，导致经费较上年增加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8</w:t>
      </w:r>
      <w:r>
        <w:rPr>
          <w:rFonts w:hint="eastAsia" w:ascii="仿宋_GB2312" w:eastAsia="仿宋_GB2312"/>
          <w:b w:val="0"/>
          <w:sz w:val="32"/>
          <w:szCs w:val="32"/>
          <w:lang w:eastAsia="zh-CN"/>
        </w:rPr>
        <w:t>.</w:t>
      </w:r>
      <w:r>
        <w:rPr>
          <w:rFonts w:ascii="仿宋_GB2312" w:eastAsia="仿宋_GB2312"/>
          <w:b w:val="0"/>
          <w:sz w:val="32"/>
          <w:szCs w:val="32"/>
        </w:rPr>
        <w:t>卫生健康支出（类）行政事业单位医疗（款）事业单位医疗（项）：支出决算数为10.11万元，比上年决算增加10.11万元，增长100.00%，主要原因是：</w:t>
      </w:r>
      <w:r>
        <w:rPr>
          <w:rFonts w:hint="eastAsia" w:ascii="仿宋_GB2312" w:eastAsia="仿宋_GB2312"/>
          <w:b w:val="0"/>
          <w:sz w:val="32"/>
          <w:szCs w:val="32"/>
        </w:rPr>
        <w:t>2025年因机构改革原因，原自治区林业生态总站合并至本单位，自治区林业生态总站退休人员经费单独科目列支，导致经费较上年增加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9</w:t>
      </w:r>
      <w:r>
        <w:rPr>
          <w:rFonts w:hint="eastAsia" w:ascii="仿宋_GB2312" w:eastAsia="仿宋_GB2312"/>
          <w:b w:val="0"/>
          <w:sz w:val="32"/>
          <w:szCs w:val="32"/>
          <w:lang w:eastAsia="zh-CN"/>
        </w:rPr>
        <w:t>.</w:t>
      </w:r>
      <w:r>
        <w:rPr>
          <w:rFonts w:ascii="仿宋_GB2312" w:eastAsia="仿宋_GB2312"/>
          <w:b w:val="0"/>
          <w:sz w:val="32"/>
          <w:szCs w:val="32"/>
        </w:rPr>
        <w:t>卫生健康支出（类）行政事业单位医疗（款）公务员医疗补助（项）：支出决算数为7.61万元，比上年决算增加7.61万元，增长100.00%，主要原因是：</w:t>
      </w:r>
      <w:r>
        <w:rPr>
          <w:rFonts w:hint="eastAsia" w:ascii="仿宋_GB2312" w:eastAsia="仿宋_GB2312"/>
          <w:b w:val="0"/>
          <w:sz w:val="32"/>
          <w:szCs w:val="32"/>
        </w:rPr>
        <w:t>2025年因机构改革原因，原自治区林业生态总站合并至本单位，自治区林业生态总站退休人员经费单独科目列支，导致经费较上年增加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10</w:t>
      </w:r>
      <w:r>
        <w:rPr>
          <w:rFonts w:hint="eastAsia" w:ascii="仿宋_GB2312" w:eastAsia="仿宋_GB2312"/>
          <w:b w:val="0"/>
          <w:sz w:val="32"/>
          <w:szCs w:val="32"/>
          <w:lang w:eastAsia="zh-CN"/>
        </w:rPr>
        <w:t>.</w:t>
      </w:r>
      <w:r>
        <w:rPr>
          <w:rFonts w:ascii="仿宋_GB2312" w:eastAsia="仿宋_GB2312"/>
          <w:b w:val="0"/>
          <w:sz w:val="32"/>
          <w:szCs w:val="32"/>
        </w:rPr>
        <w:t>农林水支出（类）农业农村（款）科技转化与推广服务（项）：支出决算数为44.80万元，比上年决算减少105.20万元，下降70.13%，主要原因是：</w:t>
      </w:r>
      <w:r>
        <w:rPr>
          <w:rFonts w:hint="eastAsia" w:ascii="仿宋_GB2312" w:eastAsia="仿宋_GB2312"/>
          <w:b w:val="0"/>
          <w:sz w:val="32"/>
          <w:szCs w:val="32"/>
        </w:rPr>
        <w:t>2025年“三农骨干”项目</w:t>
      </w:r>
      <w:r>
        <w:rPr>
          <w:rFonts w:hint="eastAsia" w:ascii="仿宋_GB2312" w:eastAsia="仿宋_GB2312"/>
          <w:b w:val="0"/>
          <w:sz w:val="32"/>
          <w:szCs w:val="32"/>
          <w:lang w:val="en-US" w:eastAsia="zh-CN"/>
        </w:rPr>
        <w:t>资金较上年减少。</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11</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农林水支出（类）林业和草原（款）事业机构（项）：支出决算数为133.21万元，比上年决算增加133.21万元，增长100.00%，主要原因是：</w:t>
      </w:r>
      <w:r>
        <w:rPr>
          <w:rFonts w:hint="eastAsia" w:ascii="仿宋_GB2312" w:eastAsia="仿宋_GB2312"/>
          <w:b w:val="0"/>
          <w:sz w:val="32"/>
          <w:szCs w:val="32"/>
        </w:rPr>
        <w:t>2025年因机构改革，原自治区林业生态总站合并至本单位，自治区林业生态总站在职人员工资，奖金，绩效工资等人员经费单独科目列支，导致经费较上年增加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12</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森林资源培育（项）：支出决算数为378.00万元，比上年决算增加318.00万元，增长530.00%，主要原因是：2025年度佳木试验站良种培育项目资金增加，因此支出决算数比上年决算数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13</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524.00万元，比上年决算增加319.80万元，增长156.61%，主要原因是：新增2025年自治区林草专项-林业发展补助资金林草种质资源库野外采种等项目，因此支出决算数比上年决算数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14</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执法与监督（项）：支出决算数为16.75万元，比上年决算减少1,684.25万元，下降99.02%，主要原因是：本年新疆林木资源与利用国家林业和草原局重点实验室平台建设项目已在上年度完成，本年度未安排相关资金，因此支出决算数比上年决算数减少。</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产业化管理（项）：支出决算数为416.99万元，比上年决算增加416.99万元，增长100.00%，主要原因是：本年新增新疆葡萄酒主要产品质量安全评价技术及应用、食用林产品质量安全监测等项目，因此支出决算数比上年决算数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16</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农林水支出（类）林业和草原（款）行业业务管理（项）：支出决算数为100.00万元，比上年决算增加100.00万元，增长100.00%，主要原因是：本年新增种质资源库野外采种项目，因此支出决算数比上年决算数增加。</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17</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农林水支出（类）林业和草原（款）其他林业和草原支出（项）：支出决算数为0.00万元，比上年决算减少623.00万元，下降100.00%，主要原因是：</w:t>
      </w:r>
      <w:r>
        <w:rPr>
          <w:rFonts w:hint="eastAsia" w:ascii="仿宋_GB2312" w:eastAsia="仿宋_GB2312"/>
          <w:b w:val="0"/>
          <w:sz w:val="32"/>
          <w:szCs w:val="32"/>
          <w:lang w:eastAsia="zh-CN"/>
        </w:rPr>
        <w:t>本年减少</w:t>
      </w:r>
      <w:r>
        <w:rPr>
          <w:rFonts w:ascii="仿宋_GB2312" w:eastAsia="仿宋_GB2312"/>
          <w:b w:val="0"/>
          <w:sz w:val="32"/>
          <w:szCs w:val="32"/>
        </w:rPr>
        <w:t>自治区林草部分项目中</w:t>
      </w:r>
      <w:r>
        <w:rPr>
          <w:rFonts w:hint="eastAsia" w:ascii="仿宋_GB2312" w:eastAsia="仿宋_GB2312"/>
          <w:b w:val="0"/>
          <w:sz w:val="32"/>
          <w:szCs w:val="32"/>
        </w:rPr>
        <w:t>新疆林科院2024年林果基地示范园（高标准示范园）建设</w:t>
      </w:r>
      <w:r>
        <w:rPr>
          <w:rFonts w:hint="eastAsia" w:ascii="仿宋_GB2312" w:eastAsia="仿宋_GB2312"/>
          <w:b w:val="0"/>
          <w:sz w:val="32"/>
          <w:szCs w:val="32"/>
          <w:lang w:eastAsia="zh-CN"/>
        </w:rPr>
        <w:t>、新疆阿克苏森林生态系统观测、外来物种入侵补充调查等项目，</w:t>
      </w:r>
      <w:r>
        <w:rPr>
          <w:rFonts w:hint="eastAsia" w:ascii="仿宋_GB2312" w:eastAsia="仿宋_GB2312"/>
          <w:b w:val="0"/>
          <w:sz w:val="32"/>
          <w:szCs w:val="32"/>
        </w:rPr>
        <w:t>导致经费较上年</w:t>
      </w:r>
      <w:r>
        <w:rPr>
          <w:rFonts w:hint="eastAsia" w:ascii="仿宋_GB2312" w:eastAsia="仿宋_GB2312"/>
          <w:b w:val="0"/>
          <w:sz w:val="32"/>
          <w:szCs w:val="32"/>
          <w:lang w:eastAsia="zh-CN"/>
        </w:rPr>
        <w:t>减少。</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18</w:t>
      </w:r>
      <w:r>
        <w:rPr>
          <w:rFonts w:hint="eastAsia" w:ascii="仿宋_GB2312" w:eastAsia="仿宋_GB2312"/>
          <w:b w:val="0"/>
          <w:sz w:val="32"/>
          <w:szCs w:val="32"/>
          <w:lang w:eastAsia="zh-CN"/>
        </w:rPr>
        <w:t>.</w:t>
      </w:r>
      <w:r>
        <w:rPr>
          <w:rFonts w:ascii="仿宋_GB2312" w:eastAsia="仿宋_GB2312"/>
          <w:b w:val="0"/>
          <w:sz w:val="32"/>
          <w:szCs w:val="32"/>
        </w:rPr>
        <w:t>住房保障支出（类）住房改革支出（款）住房公积金（项）：支出决算数为12.26万元，比上年决算增加12.26万元，增长100.00%，主要原因是：</w:t>
      </w:r>
      <w:r>
        <w:rPr>
          <w:rFonts w:hint="eastAsia" w:ascii="仿宋_GB2312" w:eastAsia="仿宋_GB2312"/>
          <w:b w:val="0"/>
          <w:sz w:val="32"/>
          <w:szCs w:val="32"/>
        </w:rPr>
        <w:t>2025年因机构改革原因，原自治区林业生态总站合并至本单位，自治区林业生态总站在职人员住房公积金单独科目列支，导致经费较上年增加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2,430.03万元，其中：人员经费2,151.55万元，包括：基本工资、津贴补贴、奖金、绩效工资、机关事业单位基本养老保险缴费、职业年金缴费、职工基本医疗保险缴费、公务员医疗补助缴费、其他社会保障缴费、住房公积金、离休费、退休费、抚恤金、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278.47万元，包括：办公费、水费、电费、邮电费、取暖费、物业管理费、差旅费、维修（护）费、专用材料费、劳务费、委托业务费、工会经费、福利费、公务用车运行维护费、其他交通费用、税金及附加费用、其他商品和服务支出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5.54万元，比上年增加0.31万元，增长5.93%，主要原因是：我单位公务用车因使用年限较长，突发维修费用，与上年相比有所增加。其中：因公出国（境）费用支出0.00万元,占0.00%，与上年相比无变化，主要原因是：2024年和2025年均未安排因公出国（境）；公务用车购置及运行维护费支出5.54万元，占100.00%，比上年增加0.36万元，增长6.95%，主要原因是：我单位公务用车因使用年限较长，突发维修费用，与上年相比有所增加；公务接待费支出0.00万元，占0.00%，比上年减少0.05万元，下降100%，主要原因是：2024年和2025年均未安排公务接待</w:t>
      </w:r>
      <w:r>
        <w:rPr>
          <w:rFonts w:hint="eastAsia" w:ascii="仿宋_GB2312" w:eastAsia="仿宋_GB2312"/>
          <w:b w:val="0"/>
          <w:sz w:val="32"/>
          <w:szCs w:val="32"/>
          <w:lang w:val="en-US" w:eastAsia="zh-CN"/>
        </w:rPr>
        <w:t>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5.54万元，其中：公务用车购置费0.00万元，公务用车运行维护费5.54万元。公务用车运行维护费开支内容包括车辆燃油费、车辆保险费、车辆维修费。公务用车购置数0辆，公务用车保有量7辆。国有资产占用情况中固定资产车辆7辆，与公务用车保有量差异原因是：国有资产占用情况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与全年预算相比，财政拨款“三公”经费支出全年预算数5.54万元，决算数5.54万元，预决算差异率0.00%，主要原因是：</w:t>
      </w:r>
      <w:r>
        <w:rPr>
          <w:rFonts w:hint="eastAsia" w:ascii="仿宋_GB2312" w:eastAsia="仿宋_GB2312"/>
          <w:b w:val="0"/>
          <w:sz w:val="32"/>
          <w:szCs w:val="32"/>
        </w:rPr>
        <w:t>严格按照预算执行，预决算无差异。</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rPr>
        <w:t>本单位无因公出国（境）费用</w:t>
      </w:r>
      <w:r>
        <w:rPr>
          <w:rFonts w:ascii="仿宋_GB2312" w:eastAsia="仿宋_GB2312"/>
          <w:b w:val="0"/>
          <w:sz w:val="32"/>
          <w:szCs w:val="32"/>
        </w:rPr>
        <w:t>；公务用车购置费全年预算数0.00万元，决算数0.00万元，预决算差异率0.00%，主要原因是：我单位无公务用车购置费；公务用车运行维护费全年预算数5.54万元，决算数5.54万元，预决算差异率0.00%，主要原因是：</w:t>
      </w:r>
      <w:r>
        <w:rPr>
          <w:rFonts w:hint="eastAsia" w:ascii="仿宋_GB2312" w:eastAsia="仿宋_GB2312"/>
          <w:b w:val="0"/>
          <w:sz w:val="32"/>
          <w:szCs w:val="32"/>
        </w:rPr>
        <w:t>严格按照预算执行，预决算无差异</w:t>
      </w:r>
      <w:r>
        <w:rPr>
          <w:rFonts w:ascii="仿宋_GB2312" w:eastAsia="仿宋_GB2312"/>
          <w:b w:val="0"/>
          <w:sz w:val="32"/>
          <w:szCs w:val="32"/>
        </w:rPr>
        <w:t>；公务接待费全年预算数0.00万元，决算数0.00万元，预决算差异率0.00%，主要原因是：我单位2025年均未安排公务接待</w:t>
      </w:r>
      <w:r>
        <w:rPr>
          <w:rFonts w:hint="eastAsia" w:ascii="仿宋_GB2312" w:eastAsia="仿宋_GB2312"/>
          <w:b w:val="0"/>
          <w:sz w:val="32"/>
          <w:szCs w:val="32"/>
          <w:lang w:val="en-US" w:eastAsia="zh-CN"/>
        </w:rPr>
        <w:t>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2025年度新疆维吾尔自治区林业科学院（本级）（事业单位）公用经费支出278.47万元，比上年增加52.06万元，增长22.99%，主要原因是：2025年因机构改革原因，原自治区林业生态总站合并进入我单位，</w:t>
      </w:r>
      <w:r>
        <w:rPr>
          <w:rFonts w:hint="eastAsia" w:ascii="仿宋_GB2312" w:eastAsia="仿宋_GB2312"/>
          <w:b w:val="0"/>
          <w:sz w:val="32"/>
          <w:szCs w:val="32"/>
          <w:lang w:eastAsia="zh-CN"/>
        </w:rPr>
        <w:t>办公费、水费、电费、物业费、其他商品服务支出等</w:t>
      </w:r>
      <w:r>
        <w:rPr>
          <w:rFonts w:ascii="仿宋_GB2312" w:eastAsia="仿宋_GB2312"/>
          <w:b w:val="0"/>
          <w:sz w:val="32"/>
          <w:szCs w:val="32"/>
        </w:rPr>
        <w:t>较上年增加。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2025年度政府采购支出总额1,790.61万元，其中：政府采购货物支出1,787.84万元、政府采购工程支出0.00万元、政府采购服务支出2.77万元。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授予中小企业合同金额841.89万元，占政府采购支出总额的47.02%，其中：授予小微企业合同金额78.39万元，占政府采购支出总额的4.38%。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lang w:val="en-US" w:eastAsia="en-US"/>
        </w:rPr>
      </w:pPr>
      <w:bookmarkStart w:id="1" w:name="_GoBack"/>
      <w:bookmarkEnd w:id="1"/>
      <w:r>
        <w:rPr>
          <w:rFonts w:ascii="仿宋_GB2312" w:eastAsia="仿宋_GB2312"/>
          <w:b w:val="0"/>
          <w:sz w:val="32"/>
          <w:szCs w:val="32"/>
          <w:lang w:val="en-US" w:eastAsia="en-US"/>
        </w:rPr>
        <w:t>截至2025年12月31日，房屋34,241.81平方米，价值5,420.33万元。车辆7辆，价值168.05万元，其中：副部（省）级及以上领导用车0辆、主要负责人用车2辆、机要通信用车0辆、应急保障用车0辆、执法执勤用车0辆、特种专业技术用车0辆、离退休干部服务用车0辆、其他用车5辆，其他用车主要是：</w:t>
      </w:r>
      <w:r>
        <w:rPr>
          <w:rFonts w:hint="eastAsia" w:ascii="仿宋_GB2312" w:eastAsia="仿宋_GB2312"/>
          <w:b w:val="0"/>
          <w:sz w:val="32"/>
          <w:szCs w:val="32"/>
          <w:lang w:val="en-US" w:eastAsia="zh-CN"/>
        </w:rPr>
        <w:t>一般公务用车</w:t>
      </w:r>
      <w:r>
        <w:rPr>
          <w:rFonts w:ascii="仿宋_GB2312" w:eastAsia="仿宋_GB2312"/>
          <w:b w:val="0"/>
          <w:sz w:val="32"/>
          <w:szCs w:val="32"/>
          <w:lang w:val="en-US" w:eastAsia="en-US"/>
        </w:rPr>
        <w:t>;单价100万元（含）以上设备（不含车辆）3台（套）。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2,557.84万元，全年执行数2,557.84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39"/>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D8E3597"/>
    <w:rsid w:val="0F417A67"/>
    <w:rsid w:val="1005031F"/>
    <w:rsid w:val="1CE67BEE"/>
    <w:rsid w:val="21E36E3A"/>
    <w:rsid w:val="22D24F4F"/>
    <w:rsid w:val="2AB27711"/>
    <w:rsid w:val="2E1D67EC"/>
    <w:rsid w:val="371768A1"/>
    <w:rsid w:val="3A1B0CC2"/>
    <w:rsid w:val="42CD3AF4"/>
    <w:rsid w:val="46B00A88"/>
    <w:rsid w:val="4B266E31"/>
    <w:rsid w:val="4BDF4A81"/>
    <w:rsid w:val="4FA01AC5"/>
    <w:rsid w:val="5BA429C7"/>
    <w:rsid w:val="62E65784"/>
    <w:rsid w:val="63951782"/>
    <w:rsid w:val="73915993"/>
    <w:rsid w:val="79AE2723"/>
    <w:rsid w:val="7B1B7B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fdb1a8b7-d90a-4738-8712-aa64dc9890cf</errorID>
      <errorWord>，</errorWord>
      <group>L1_Punc</group>
      <groupName>标点问题</groupName>
      <ability>L2_Punc_CN</ability>
      <abilityName>标点符号问题</abilityName>
      <candidateList>
        <item>、</item>
      </candidateList>
      <explain/>
      <paraID>66EA56DC</paraID>
      <start>179</start>
      <end>180</end>
      <status>unmodified</status>
      <modifiedWord/>
      <trackRevisions>false</trackRevisions>
    </reviewItem>
    <reviewItem>
      <errorID>0cf3af14-5cf3-4e33-9de2-c2cb551185d2</errorID>
      <errorWord>,</errorWord>
      <group>L1_Format</group>
      <groupName>格式问题</groupName>
      <ability>L2_HalfPunc_CN</ability>
      <abilityName>全半角问题</abilityName>
      <candidateList>
        <item>，</item>
      </candidateList>
      <explain>文本全半角错误。</explain>
      <paraID>124D397C</paraID>
      <start>35</start>
      <end>36</end>
      <status>unmodified</status>
      <modifiedWord/>
      <trackRevisions>false</trackRevisions>
    </reviewItem>
    <reviewItem>
      <errorID>19f72cb8-0a5d-4587-b18a-93d85f600a77</errorID>
      <errorWord>,</errorWord>
      <group>L1_Format</group>
      <groupName>格式问题</groupName>
      <ability>L2_HalfPunc_CN</ability>
      <abilityName>全半角问题</abilityName>
      <candidateList>
        <item>，</item>
      </candidateList>
      <explain>文本全半角错误。</explain>
      <paraID>124D397C</paraID>
      <start>56</start>
      <end>57</end>
      <status>unmodified</status>
      <modifiedWord/>
      <trackRevisions>false</trackRevisions>
    </reviewItem>
    <reviewItem>
      <errorID>c3b6832c-864f-4b3a-9c33-4709b8ec5000</errorID>
      <errorWord>,</errorWord>
      <group>L1_Format</group>
      <groupName>格式问题</groupName>
      <ability>L2_HalfPunc_CN</ability>
      <abilityName>全半角问题</abilityName>
      <candidateList>
        <item>，</item>
      </candidateList>
      <explain>文本全半角错误。</explain>
      <paraID>124D397C</paraID>
      <start>97</start>
      <end>98</end>
      <status>unmodified</status>
      <modifiedWord/>
      <trackRevisions>false</trackRevisions>
    </reviewItem>
    <reviewItem>
      <errorID>5567380a-10bd-4d18-bd30-56fefda16c64</errorID>
      <errorWord>，</errorWord>
      <group>L1_Punc</group>
      <groupName>标点问题</groupName>
      <ability>L2_Punc_CN</ability>
      <abilityName>标点符号问题</abilityName>
      <candidateList>
        <item>、</item>
      </candidateList>
      <explain/>
      <paraID>1A037FCC</paraID>
      <start>117</start>
      <end>118</end>
      <status>unmodified</status>
      <modifiedWord/>
      <trackRevisions>false</trackRevisions>
    </reviewItem>
    <reviewItem>
      <errorID>1ec68e12-a730-4383-984f-884445c281a6</errorID>
      <errorWord>，</errorWord>
      <group>L1_Punc</group>
      <groupName>标点问题</groupName>
      <ability>L2_Punc_CN</ability>
      <abilityName>标点符号问题</abilityName>
      <candidateList>
        <item>、</item>
      </candidateList>
      <explain/>
      <paraID>1A037FCC</paraID>
      <start>120</start>
      <end>121</end>
      <status>unmodified</status>
      <modifiedWord/>
      <trackRevisions>false</trackRevisions>
    </reviewItem>
    <reviewItem>
      <errorID>b03c73c3-7012-47f1-b75d-2fe19e3e48a8</errorID>
      <errorWord>-</errorWord>
      <group>L1_Format</group>
      <groupName>格式问题</groupName>
      <ability>L2_HalfPunc_CN</ability>
      <abilityName>全半角问题</abilityName>
      <candidateList>
        <item>－</item>
      </candidateList>
      <explain>文本全半角错误。</explain>
      <paraID>36B5BFBE</paraID>
      <start>91</start>
      <end>92</end>
      <status>unmodified</status>
      <modifiedWord/>
      <trackRevisions>false</trackRevisions>
    </reviewItem>
    <reviewItem>
      <errorID>4de7f487-6ddd-42bc-b207-5ddc594148c3</errorID>
      <errorWord>年</errorWord>
      <group>L1_Word</group>
      <groupName>字词问题</groupName>
      <ability>L2_Typo</ability>
      <abilityName>字词错误</abilityName>
      <candidateList>
        <item>年度</item>
      </candidateList>
      <explain/>
      <paraID> AD11B53</paraID>
      <start>76</start>
      <end>77</end>
      <status>unmodified</status>
      <modifiedWord/>
      <trackRevisions>false</trackRevisions>
    </reviewItem>
    <reviewItem>
      <errorID>9f494731-2c73-4057-b755-5034142fcc4f</errorID>
      <errorWord>,</errorWord>
      <group>L1_Format</group>
      <groupName>格式问题</groupName>
      <ability>L2_HalfPunc_CN</ability>
      <abilityName>全半角问题</abilityName>
      <candidateList>
        <item>，</item>
      </candidateList>
      <explain>文本全半角错误。</explain>
      <paraID>2C35E71B</paraID>
      <start>103</start>
      <end>104</end>
      <status>unmodified</status>
      <modifiedWord/>
      <trackRevisions>false</trackRevisions>
    </reviewItem>
    <reviewItem>
      <errorID>e8887f5a-5d20-44cf-ad3c-e7dd8e913001</errorID>
      <errorWord>包括</errorWord>
      <group>L1_Word</group>
      <groupName>字词问题</groupName>
      <ability>L2_Typo</ability>
      <abilityName>字词错误</abilityName>
      <candidateList>
        <item>为</item>
      </candidateList>
      <explain/>
      <paraID>2C4A826F</paraID>
      <start>20</start>
      <end>22</end>
      <status>unmodified</status>
      <modifiedWord/>
      <trackRevisions>false</trackRevisions>
    </reviewItem>
    <reviewItem>
      <errorID>0ce60ab9-613e-4bc5-a210-4cdbf160ff54</errorID>
      <errorWord>包括</errorWord>
      <group>L1_Word</group>
      <groupName>字词问题</groupName>
      <ability>L2_Typo</ability>
      <abilityName>字词错误</abilityName>
      <candidateList>
        <item>为</item>
      </candidateList>
      <explain/>
      <paraID>7739308F</paraID>
      <start>16</start>
      <end>18</end>
      <status>unmodified</status>
      <modifiedWord/>
      <trackRevisions>false</trackRevisions>
    </reviewItem>
    <reviewItem>
      <errorID>53303440-c40a-45d3-a035-640be512e041</errorID>
      <errorWord>;</errorWord>
      <group>L1_Punc</group>
      <groupName>标点问题</groupName>
      <ability>L2_Punc_CN</ability>
      <abilityName>标点符号问题</abilityName>
      <candidateList>
        <item>；</item>
      </candidateList>
      <explain/>
      <paraID> 3E0BD50</paraID>
      <start>159</start>
      <end>160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a1820-2c61-4c9b-9a85-35ed1bc4e47a}">
  <ds:schemaRefs/>
</ds:datastoreItem>
</file>

<file path=docProps/app.xml><?xml version="1.0" encoding="utf-8"?>
<Properties xmlns="http://schemas.openxmlformats.org/officeDocument/2006/extended-properties" xmlns:vt="http://schemas.openxmlformats.org/officeDocument/2006/docPropsVTypes">
  <Pages>16</Pages>
  <Words>7371</Words>
  <Characters>8346</Characters>
  <TotalTime>18</TotalTime>
  <ScaleCrop>false</ScaleCrop>
  <LinksUpToDate>false</LinksUpToDate>
  <CharactersWithSpaces>8354</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2026-08-20T04:20:00Z</dcterms:created>
  <dc:creator>计算机</dc:creator>
  <cp:lastModifiedBy>浅唱</cp:lastModifiedBy>
  <cp:lastPrinted>2026-08-28T03:26:00Z</cp:lastPrinted>
  <dcterms:modified xsi:type="dcterms:W3CDTF">2026-09-03T11:36:48Z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C1978A823F6543A68E7AE98F2F0468F9_12</vt:lpwstr>
  </property>
  <property fmtid="{D5CDD505-2E9C-101B-9397-08002B2CF9AE}" pid="4" name="KSOTemplateDocerSaveRecord">
    <vt:lpwstr>eyJoZGlkIjoiODFkN2IxNDhjZjg5NmQ2NGM2MDc2OTFlNWI4MDU2NDUiLCJ1c2VySWQiOiI2NzcwNzU0ODgifQ==</vt:lpwstr>
  </property>
</Properties>
</file>