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4C307">
      <w:pPr>
        <w:spacing w:after="0" w:line="240" w:lineRule="auto"/>
        <w:rPr>
          <w:rFonts w:ascii="宋体" w:eastAsia="宋体"/>
          <w:sz w:val="32"/>
          <w:szCs w:val="32"/>
        </w:rPr>
      </w:pPr>
    </w:p>
    <w:p w14:paraId="4CF19234">
      <w:pPr>
        <w:spacing w:after="0" w:line="240" w:lineRule="auto"/>
        <w:rPr>
          <w:rFonts w:ascii="宋体" w:eastAsia="宋体"/>
          <w:sz w:val="44"/>
          <w:szCs w:val="44"/>
        </w:rPr>
      </w:pPr>
    </w:p>
    <w:p w14:paraId="461866CF">
      <w:pPr>
        <w:spacing w:after="0" w:line="240" w:lineRule="auto"/>
        <w:rPr>
          <w:rFonts w:ascii="宋体" w:eastAsia="宋体"/>
          <w:sz w:val="44"/>
          <w:szCs w:val="44"/>
        </w:rPr>
      </w:pPr>
    </w:p>
    <w:p w14:paraId="089339BA">
      <w:pPr>
        <w:spacing w:after="0" w:line="240" w:lineRule="auto"/>
        <w:rPr>
          <w:rFonts w:ascii="宋体" w:eastAsia="宋体"/>
          <w:sz w:val="44"/>
          <w:szCs w:val="44"/>
        </w:rPr>
      </w:pPr>
    </w:p>
    <w:p w14:paraId="30F4E4CC">
      <w:pPr>
        <w:spacing w:after="0" w:line="240" w:lineRule="auto"/>
        <w:jc w:val="center"/>
        <w:outlineLvl w:val="0"/>
        <w:rPr>
          <w:rFonts w:ascii="宋体" w:eastAsia="黑体"/>
          <w:sz w:val="44"/>
          <w:szCs w:val="44"/>
          <w:lang w:eastAsia="zh-CN"/>
        </w:rPr>
      </w:pPr>
      <w:r>
        <w:rPr>
          <w:rFonts w:ascii="宋体" w:eastAsia="黑体"/>
          <w:sz w:val="44"/>
          <w:szCs w:val="44"/>
          <w:lang w:eastAsia="zh-CN"/>
        </w:rPr>
        <w:t>新疆畜牧科学院兽医研究所（新疆畜牧科学院动物临床医学研究中心）</w:t>
      </w:r>
    </w:p>
    <w:p w14:paraId="717C055F">
      <w:pPr>
        <w:spacing w:after="0" w:line="240" w:lineRule="auto"/>
        <w:jc w:val="center"/>
        <w:outlineLvl w:val="0"/>
        <w:rPr>
          <w:rFonts w:ascii="黑体" w:eastAsia="黑体"/>
          <w:sz w:val="44"/>
          <w:szCs w:val="44"/>
          <w:lang w:eastAsia="zh-CN"/>
        </w:rPr>
      </w:pPr>
      <w:r>
        <w:rPr>
          <w:rFonts w:ascii="黑体" w:eastAsia="黑体"/>
          <w:sz w:val="44"/>
          <w:szCs w:val="44"/>
          <w:lang w:eastAsia="zh-CN"/>
        </w:rPr>
        <w:t>2025年度部门决算公开说明</w:t>
      </w:r>
    </w:p>
    <w:p w14:paraId="72BD5974">
      <w:pPr>
        <w:rPr>
          <w:lang w:eastAsia="zh-CN"/>
        </w:rPr>
      </w:pPr>
      <w:r>
        <w:rPr>
          <w:sz w:val="0"/>
          <w:szCs w:val="0"/>
          <w:lang w:eastAsia="zh-CN"/>
        </w:rPr>
        <w:br w:type="page"/>
      </w:r>
    </w:p>
    <w:p w14:paraId="5A16B80E">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B25C968">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FB8A79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CECBB3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7BBE7322">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4298436">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BF5639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879206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2D3286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695885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DBC14F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962E922">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EDA178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E4D336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44A4EDD">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48BE2F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F591A2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FCC1D72">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6EC2CC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4C600AB">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F385E56">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37D705A">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FD0C3E6">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86F382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4683248">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25250D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325DC2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5B9E5D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08DD01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741263D">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5E3CE6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8587DC5">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5FF7B8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5E89F5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112D0316">
      <w:pPr>
        <w:rPr>
          <w:lang w:eastAsia="zh-CN"/>
        </w:rPr>
      </w:pPr>
      <w:r>
        <w:rPr>
          <w:sz w:val="0"/>
          <w:szCs w:val="0"/>
          <w:lang w:eastAsia="zh-CN"/>
        </w:rPr>
        <w:br w:type="page"/>
      </w:r>
    </w:p>
    <w:p w14:paraId="2BAB549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0CD1F03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762AE8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兽医研究所是一支新疆动物疫病防控不可缺少的技术支撑队伍，主要从事基础兽医学、预防兽医学和临床兽医学研究。根据国家和自治区畜牧业发展政策，承担国家、自治区动物疫病防制技术方面的研究项目和技术推广与示范；引进、推广国内外兽医行业的先进技术；进行兽药、生物疫苗和诊断试剂等相关产品的开发；为城市市民和基层农牧民提供宠物与家畜疫病防治技术服务和人员培训等。尤其在重大动物疫病和人畜共患病研究方面成绩显著。同时还承担自治区安排的三、四类地区技术服务和科技三下乡工作等。</w:t>
      </w:r>
    </w:p>
    <w:p w14:paraId="7F89BFB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5CB054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新疆畜牧科学院兽医研究所（新疆畜牧科学院动物临床医学研究中心）无下属预算单位。</w:t>
      </w:r>
    </w:p>
    <w:p w14:paraId="27486E71">
      <w:pPr>
        <w:rPr>
          <w:lang w:eastAsia="zh-CN"/>
        </w:rPr>
      </w:pPr>
      <w:r>
        <w:rPr>
          <w:sz w:val="0"/>
          <w:szCs w:val="0"/>
          <w:lang w:eastAsia="zh-CN"/>
        </w:rPr>
        <w:br w:type="page"/>
      </w:r>
    </w:p>
    <w:p w14:paraId="44C3231E">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06339C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AAD20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2025年度收入总计3,613.29万元，其中：本年收入合计2,932.90万元，使用非财政拨款结余（含专用结余）0.00万元，年初结转和结余680.39万元。</w:t>
      </w:r>
    </w:p>
    <w:p w14:paraId="6B4B60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2025年度支出总计3,613.29万元，其中：本年支出合计3,225.68万元，结余分配0.00万元，年末结转和结余387.62万元。</w:t>
      </w:r>
    </w:p>
    <w:p w14:paraId="00E90B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收入支出总体与上年相比，减少762.91万元，下降17.43%，主要原因是：本年减少丧葬费抚恤金、</w:t>
      </w:r>
      <w:r>
        <w:rPr>
          <w:rFonts w:hint="eastAsia" w:ascii="仿宋_GB2312" w:eastAsia="仿宋_GB2312"/>
          <w:sz w:val="32"/>
          <w:szCs w:val="32"/>
          <w:lang w:eastAsia="zh-CN"/>
        </w:rPr>
        <w:t>为民办实事</w:t>
      </w:r>
      <w:r>
        <w:rPr>
          <w:rFonts w:ascii="仿宋_GB2312" w:eastAsia="仿宋_GB2312"/>
          <w:sz w:val="32"/>
          <w:szCs w:val="32"/>
          <w:lang w:eastAsia="zh-CN"/>
        </w:rPr>
        <w:t>南疆工作补贴经费、科研创新平台人才团队支持计划新项目经费、智力援疆创新拓展人才计划项目经费。</w:t>
      </w:r>
    </w:p>
    <w:p w14:paraId="031DF4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6C8690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2,932.90万元，其中：财政拨款收入2,233.10万元,占76.14%；上级补助收入0.00万元,占0.00%；事业收入42.79万元，占1.46%；经营收入0.00万元,占0.00%；附属单位上缴收入0.00万元，占0.00%；其他收入657.00万元，占22.40%。</w:t>
      </w:r>
    </w:p>
    <w:p w14:paraId="7FC5123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177F39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本年支出3,225.68万元，其中：基本支出1,874.10万元，占58.10%；项目支出1,351.57万元，占41.90%；上缴上级支出0.00万元，占0.00%；经营支出0.00万元，占0.00%；对附属单位补助支出0.00万元，占0.00%。</w:t>
      </w:r>
    </w:p>
    <w:p w14:paraId="671BB21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7D1795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2025年度财政拨款收入总计2,233.10万元，其中：年初财政拨款结转和结余0.00万元，本年财政拨款收入2,233.10万元。财政拨款支出总计2,233.10万元，其中：年末财政拨款结转和结余0.00万元，本年财政拨款支出2,233.10万元。</w:t>
      </w:r>
    </w:p>
    <w:p w14:paraId="2E338C9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财政拨款收入支出总体与上年相比，减少182.31万元，下降7.55%，主要原因是：本年减少丧葬费抚恤金、</w:t>
      </w:r>
      <w:r>
        <w:rPr>
          <w:rFonts w:hint="eastAsia" w:ascii="仿宋_GB2312" w:eastAsia="仿宋_GB2312"/>
          <w:sz w:val="32"/>
          <w:szCs w:val="32"/>
          <w:lang w:eastAsia="zh-CN"/>
        </w:rPr>
        <w:t>为民办实事</w:t>
      </w:r>
      <w:r>
        <w:rPr>
          <w:rFonts w:ascii="仿宋_GB2312" w:eastAsia="仿宋_GB2312"/>
          <w:sz w:val="32"/>
          <w:szCs w:val="32"/>
          <w:lang w:eastAsia="zh-CN"/>
        </w:rPr>
        <w:t>南疆工作补贴经费、一家亲结对认亲交通费、科研创新平台人才团队支持计划新项目经费、智力援疆创新拓展人才计划项目经费。与年初预算相比，年初预算数1,723.47万元，决算数2,233.10万元，预决算差异率29.57%，主要原因是：</w:t>
      </w:r>
      <w:r>
        <w:rPr>
          <w:rFonts w:hint="eastAsia" w:ascii="仿宋_GB2312" w:eastAsia="仿宋_GB2312"/>
          <w:sz w:val="32"/>
          <w:szCs w:val="32"/>
          <w:lang w:eastAsia="zh-CN"/>
        </w:rPr>
        <w:t>年中追加人员工资、社保、公积金基数调增部分资金及做实2025年职业年金，导致预决算存在差异</w:t>
      </w:r>
      <w:r>
        <w:rPr>
          <w:rFonts w:ascii="仿宋_GB2312" w:eastAsia="仿宋_GB2312"/>
          <w:sz w:val="32"/>
          <w:szCs w:val="32"/>
          <w:lang w:eastAsia="zh-CN"/>
        </w:rPr>
        <w:t>。</w:t>
      </w:r>
    </w:p>
    <w:p w14:paraId="7DCDA4D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92DDD0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按照党中央、国务院关于党政机关习惯过紧日子的有关要求，厉行节约办一切事业，严控一般性支出。同时坚持有保有压，优化支出结构，提高资金使用效率，合理保障科研</w:t>
      </w:r>
      <w:r>
        <w:rPr>
          <w:rFonts w:hint="eastAsia" w:ascii="仿宋_GB2312" w:eastAsia="仿宋_GB2312"/>
          <w:sz w:val="32"/>
          <w:szCs w:val="32"/>
          <w:lang w:eastAsia="zh-CN"/>
        </w:rPr>
        <w:t>业务、</w:t>
      </w:r>
      <w:r>
        <w:rPr>
          <w:rFonts w:hint="eastAsia" w:ascii="仿宋_GB2312" w:eastAsia="仿宋_GB2312"/>
          <w:sz w:val="32"/>
          <w:szCs w:val="32"/>
          <w:lang w:val="en-US" w:eastAsia="zh-CN"/>
        </w:rPr>
        <w:t>机构运行</w:t>
      </w:r>
      <w:r>
        <w:rPr>
          <w:rFonts w:ascii="仿宋_GB2312" w:eastAsia="仿宋_GB2312"/>
          <w:sz w:val="32"/>
          <w:szCs w:val="32"/>
          <w:lang w:eastAsia="zh-CN"/>
        </w:rPr>
        <w:t>等重点支出，体现在有关支出科目中。</w:t>
      </w:r>
    </w:p>
    <w:p w14:paraId="21EEF3A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按照支出功能分类，科学技术支出（类）应用研究（款）机构运行（项）的支出占本年财政拨款支出总额的比重最高，2025年度决算数为1,874.10万元，占比83.92%，主要用于</w:t>
      </w:r>
      <w:r>
        <w:rPr>
          <w:rFonts w:hint="eastAsia" w:ascii="仿宋_GB2312" w:eastAsia="仿宋_GB2312"/>
          <w:sz w:val="32"/>
          <w:szCs w:val="32"/>
          <w:lang w:val="en-US" w:eastAsia="zh-CN"/>
        </w:rPr>
        <w:t>人员工资福利、日常公用经费等</w:t>
      </w:r>
      <w:r>
        <w:rPr>
          <w:rFonts w:ascii="仿宋_GB2312" w:eastAsia="仿宋_GB2312"/>
          <w:sz w:val="32"/>
          <w:szCs w:val="32"/>
          <w:lang w:eastAsia="zh-CN"/>
        </w:rPr>
        <w:t>。</w:t>
      </w:r>
    </w:p>
    <w:p w14:paraId="1C4B5670">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EFB05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2025年度一般公共预算财政拨款支出2,233.10万元，占本年支出合计的69.23%。与上年相比，减少182.31万元，下降7.55%，主要原因是：本年减少丧葬费抚恤金、</w:t>
      </w:r>
      <w:r>
        <w:rPr>
          <w:rFonts w:hint="eastAsia" w:ascii="仿宋_GB2312" w:eastAsia="仿宋_GB2312"/>
          <w:sz w:val="32"/>
          <w:szCs w:val="32"/>
          <w:lang w:eastAsia="zh-CN"/>
        </w:rPr>
        <w:t>为民办实事</w:t>
      </w:r>
      <w:r>
        <w:rPr>
          <w:rFonts w:ascii="仿宋_GB2312" w:eastAsia="仿宋_GB2312"/>
          <w:sz w:val="32"/>
          <w:szCs w:val="32"/>
          <w:lang w:eastAsia="zh-CN"/>
        </w:rPr>
        <w:t>南疆工作补贴经费、科研创新平台人才团队支持计划新项目经费、智力援疆创新拓展人才计划项目经费。与年初预算相比，年初预算数1,723.47万元，决算数2,233.10万元，预决算差异率29.57%，主要原因是：</w:t>
      </w:r>
      <w:r>
        <w:rPr>
          <w:rFonts w:hint="eastAsia" w:ascii="仿宋_GB2312" w:eastAsia="仿宋_GB2312"/>
          <w:sz w:val="32"/>
          <w:szCs w:val="32"/>
          <w:lang w:eastAsia="zh-CN"/>
        </w:rPr>
        <w:t>年中追加人员工资、社保、公积金基数调增部分资金及做实2025年职业年金，导致预决算存在差异</w:t>
      </w:r>
      <w:r>
        <w:rPr>
          <w:rFonts w:ascii="仿宋_GB2312" w:eastAsia="仿宋_GB2312"/>
          <w:sz w:val="32"/>
          <w:szCs w:val="32"/>
          <w:lang w:eastAsia="zh-CN"/>
        </w:rPr>
        <w:t>。</w:t>
      </w:r>
    </w:p>
    <w:p w14:paraId="2879855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6D9E1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1.科学技术支出（类）1,984.10万元，占88.85%。</w:t>
      </w:r>
    </w:p>
    <w:p w14:paraId="5B8DD2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2.农林水支出（类）249.00万元，占11.15%。</w:t>
      </w:r>
    </w:p>
    <w:p w14:paraId="6CE5227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8570E1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1.学技术支出（类）基础研究（款）实验室及相关设施（项）：支出决算数为0.00万元，比上年决算减少6.31万元，下降100.00%，主要原因是：减少科研创新平台人才团队支持计划新认定项目经费。</w:t>
      </w:r>
    </w:p>
    <w:p w14:paraId="5C15F40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2.科学技术支出（类）基础研究（款）科技人才队伍建设（项）：支出决算数为110.00万元，比上年决算增加6.82万元，增长6.61%，主要原因是：增加人才发展基金科研创新平台人才团队支持计划项目经费。</w:t>
      </w:r>
    </w:p>
    <w:p w14:paraId="2DD8B1E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3.科学技术支出（类）应用研究（款）机构运行（项）：支出决算数为1,874.10万元，比上年决算减少5.24万元，下降0.28%，主要原因是：本年减少丧葬费抚恤金、</w:t>
      </w:r>
      <w:r>
        <w:rPr>
          <w:rFonts w:hint="eastAsia" w:ascii="仿宋_GB2312" w:eastAsia="仿宋_GB2312"/>
          <w:sz w:val="32"/>
          <w:szCs w:val="32"/>
          <w:lang w:eastAsia="zh-CN"/>
        </w:rPr>
        <w:t>为民办实事</w:t>
      </w:r>
      <w:r>
        <w:rPr>
          <w:rFonts w:ascii="仿宋_GB2312" w:eastAsia="仿宋_GB2312"/>
          <w:sz w:val="32"/>
          <w:szCs w:val="32"/>
          <w:lang w:eastAsia="zh-CN"/>
        </w:rPr>
        <w:t>南疆工作补贴经费、一家亲结对认亲交通费。</w:t>
      </w:r>
    </w:p>
    <w:p w14:paraId="5829E0E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4.科学技术支出（类）科技条件与服务（款）其他科技条件与服务支出（项）：支出决算数为0.00万元，比上年决算减少6.43万元，下降100.00%，主要原因是：本年减少“三区”科技人才支持计划项目经费。</w:t>
      </w:r>
    </w:p>
    <w:p w14:paraId="1453298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5.科学技术支出（类）其他科学技术支出（款）其他科学技术支出（项）：支出决算数为0.00万元，比上年决算减少3.15万元，下降100.00%，主要原因是：本年减少现代农业产业技术体系人才项目经费。</w:t>
      </w:r>
    </w:p>
    <w:p w14:paraId="4C0D342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人力资源和社会保障管理事务（款）其他人力资源和社会保障管理事务支出（项）：支出决算数为0.00万元，比上年决算减少80.00万元，下降100.00%，主要原因是：本年减少天池英才引进计划项目经费。</w:t>
      </w:r>
    </w:p>
    <w:p w14:paraId="62F2027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7.农林水支出（类）农业农村（款）科技转化与推广服务（项）：支出决算数为97.00万元，比上年决算减少7.00万元，下降6.73%，主要原因是：本年减少智力援疆创新拓展人才计划项目经费。</w:t>
      </w:r>
    </w:p>
    <w:p w14:paraId="42A86E3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8.农林水支出（类）农业农村（款）病虫害控制（项）：支出决算数为82.00万元，比上年决算减少33.00万元，下降28.70%，主要原因是：本年减少动物防疫体系建设补助项目经费。</w:t>
      </w:r>
    </w:p>
    <w:p w14:paraId="630C103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9.农林水支出（类）农业农村（款）农业生产发展（项）：支出决算数为30.00万元，比上年决算减少88.00万元，下降74.58%，主要原因是：本年减少现代畜禽种业项目经费。</w:t>
      </w:r>
    </w:p>
    <w:p w14:paraId="06AA6B7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10.农林水支出（类）农业农村（款）农村合作经济（项）：支出决算数为40.00万元，比上年决算增加40.00万元，增长100.00%，主要原因是：本年增加中央农业防灾减灾和水利救灾资金项目经费。</w:t>
      </w:r>
    </w:p>
    <w:p w14:paraId="58A483A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1E12D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1,874.10万元，其中：人员经费1,762.76万元，包括：基本工资、津贴补贴、奖金、绩效工资、机关事业单位基本养老保险缴费、职业年金缴费、职工基本医疗保险缴费、公务员医疗补助缴费、其他社会保障缴费、住房公积金、退休费和其他对个人和家庭的补助。</w:t>
      </w:r>
    </w:p>
    <w:p w14:paraId="0A8773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公用经费111.34万元，包括：办公费、水费、电费、邮电费、取暖费、物业管理费、差旅费、工会经费、福利费、公务用车运行维护费、其他交通费用和其他商品和服务支出。</w:t>
      </w:r>
    </w:p>
    <w:p w14:paraId="310D18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BEA57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75C07B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CD9382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3D3188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2D0FA12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5.00万元，与上年相比无变化，主要原因是：我单位“三公”经费与上年一致无变化。其中：因公出国（境）费用支出0.00万元,占0.00%，与上年相比无变化，主要原因是：2024年与2025年均未安排因公出国（境）费用；公务用车购置及运行维护费支出5.00万元，占100.00%，与上年相比无变化，主要原因是：我单位公务用车购置及运行维护费支出与上年一致无变化；公务接待费支出0.00万元，占0.00%，与上年相比无变化，主要原因是：2024年与2025年均未安排公务接待费。</w:t>
      </w:r>
    </w:p>
    <w:p w14:paraId="4B275CC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33BD9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w:t>
      </w:r>
      <w:r>
        <w:rPr>
          <w:rFonts w:hint="eastAsia" w:ascii="仿宋_GB2312" w:eastAsia="仿宋_GB2312"/>
          <w:sz w:val="32"/>
          <w:szCs w:val="32"/>
          <w:lang w:eastAsia="zh-CN"/>
        </w:rPr>
        <w:t>本单位无因公出国（境）费用</w:t>
      </w:r>
      <w:r>
        <w:rPr>
          <w:rFonts w:ascii="仿宋_GB2312" w:eastAsia="仿宋_GB2312"/>
          <w:sz w:val="32"/>
          <w:szCs w:val="32"/>
          <w:lang w:eastAsia="zh-CN"/>
        </w:rPr>
        <w:t>。单位全年安排的因公出国（境）团组0个，因公出国（境）0人次。</w:t>
      </w:r>
    </w:p>
    <w:p w14:paraId="2782809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公务用车购置及运行维护费5.00万元，其中：公务用车购置费0.00万元，公务用车运行维护费5.00万元。公务用车运行维护费开支内容包括公务用车燃油费、维修费、车辆保险费、车辆审验费。公务用车购置数0辆，公务用车保有量4辆。国有资产占用情况中固定资产车辆4辆，与公务用车保有量差异原因是：我单位国有资产占用情况中固定资产车辆与公务用车保有量无差异。</w:t>
      </w:r>
    </w:p>
    <w:p w14:paraId="0156F03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14:paraId="6E71ABD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与全年预算相比，财政拨款“三公”经费支出全年预算数5.00万元，决算数5.00万元，预决算差异率0.00%，主要原因是：</w:t>
      </w:r>
      <w:r>
        <w:rPr>
          <w:rFonts w:hint="eastAsia" w:ascii="仿宋_GB2312" w:eastAsia="仿宋_GB2312"/>
          <w:sz w:val="32"/>
          <w:szCs w:val="32"/>
          <w:lang w:eastAsia="zh-CN"/>
        </w:rPr>
        <w:t>严格按照预算执行，预决算无差异</w:t>
      </w:r>
      <w:r>
        <w:rPr>
          <w:rFonts w:ascii="仿宋_GB2312" w:eastAsia="仿宋_GB2312"/>
          <w:sz w:val="32"/>
          <w:szCs w:val="32"/>
          <w:lang w:eastAsia="zh-CN"/>
        </w:rPr>
        <w:t>。其中：因公出国（境）费用全年预算数0.00万元，决算数0.00万元，预决算差异率0.00%，主要原因是：</w:t>
      </w:r>
      <w:r>
        <w:rPr>
          <w:rFonts w:hint="eastAsia" w:ascii="仿宋_GB2312" w:eastAsia="仿宋_GB2312"/>
          <w:sz w:val="32"/>
          <w:szCs w:val="32"/>
          <w:lang w:eastAsia="zh-CN"/>
        </w:rPr>
        <w:t>本单位无因公出国（境）费用</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本单位无</w:t>
      </w:r>
      <w:r>
        <w:rPr>
          <w:rFonts w:ascii="仿宋_GB2312" w:eastAsia="仿宋_GB2312"/>
          <w:sz w:val="32"/>
          <w:szCs w:val="32"/>
          <w:lang w:eastAsia="zh-CN"/>
        </w:rPr>
        <w:t>公务用车购置费；公务用车运行维护费全年预算数5.00万元，决算数5.00万元，预决算差异率0.00%，主要原因是：</w:t>
      </w:r>
      <w:r>
        <w:rPr>
          <w:rFonts w:hint="eastAsia" w:ascii="仿宋_GB2312" w:eastAsia="仿宋_GB2312"/>
          <w:sz w:val="32"/>
          <w:szCs w:val="32"/>
          <w:lang w:eastAsia="zh-CN"/>
        </w:rPr>
        <w:t>严格按照预算执行，预决算无差异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本单位无</w:t>
      </w:r>
      <w:r>
        <w:rPr>
          <w:rFonts w:ascii="仿宋_GB2312" w:eastAsia="仿宋_GB2312"/>
          <w:sz w:val="32"/>
          <w:szCs w:val="32"/>
          <w:lang w:eastAsia="zh-CN"/>
        </w:rPr>
        <w:t>公务接待费。</w:t>
      </w:r>
    </w:p>
    <w:p w14:paraId="0E17EE5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47ACEF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EDC88C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2025年度新疆畜牧科学院兽医研究所（新疆畜牧科学院动物临床医学研究中心）（事业单位）公用经费支出111.34万元，比上年减少3.65万元，下降3.17%，主要原因是：</w:t>
      </w:r>
      <w:r>
        <w:rPr>
          <w:rFonts w:hint="eastAsia" w:ascii="仿宋_GB2312" w:hAnsi="仿宋_GB2312" w:eastAsia="仿宋_GB2312" w:cs="仿宋_GB2312"/>
          <w:bCs/>
          <w:sz w:val="32"/>
          <w:szCs w:val="32"/>
          <w:lang w:eastAsia="zh-CN"/>
        </w:rPr>
        <w:t>本年在职人员减少，办公费用减少；本年减少工会经费，导致公用经费减少</w:t>
      </w:r>
      <w:r>
        <w:rPr>
          <w:rFonts w:ascii="仿宋_GB2312" w:eastAsia="仿宋_GB2312"/>
          <w:sz w:val="32"/>
          <w:szCs w:val="32"/>
          <w:lang w:eastAsia="zh-CN"/>
        </w:rPr>
        <w:t>。</w:t>
      </w:r>
    </w:p>
    <w:p w14:paraId="7BDAB31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75948E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2025年度政府采购支出总额53.34万元，其中：政府采购货物支出3.86万元、政府采购工程支出0.00万元、政府采购服务支出49.48万元。</w:t>
      </w:r>
    </w:p>
    <w:p w14:paraId="21C0C7B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授予中小企业合同金额53.34万元，占政府采购支出总额的100.00%，其中：授予小微企业合同金额53.34万元，占政府采购支出总额的100.00%。</w:t>
      </w:r>
    </w:p>
    <w:p w14:paraId="1BD80ADB">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4EDB08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截至2025年12月31日，房屋0.00平方米，价值0.00万元。</w:t>
      </w:r>
      <w:r>
        <w:rPr>
          <w:rFonts w:ascii="仿宋_GB2312" w:eastAsia="仿宋_GB2312"/>
          <w:sz w:val="32"/>
          <w:szCs w:val="32"/>
          <w:lang w:eastAsia="zh-CN"/>
        </w:rPr>
        <w:t>车辆4辆，价值90.06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sz w:val="32"/>
          <w:szCs w:val="32"/>
          <w:lang w:eastAsia="zh-CN"/>
        </w:rPr>
        <w:t>一般</w:t>
      </w:r>
      <w:r>
        <w:rPr>
          <w:rFonts w:ascii="仿宋_GB2312" w:eastAsia="仿宋_GB2312"/>
          <w:sz w:val="32"/>
          <w:szCs w:val="32"/>
          <w:lang w:eastAsia="zh-CN"/>
        </w:rPr>
        <w:t>公务用车;单价100万元（含）以上设备（不含车辆）4台（套）。</w:t>
      </w:r>
    </w:p>
    <w:p w14:paraId="6A13D5A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199067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2个，全年预算数829.23万元，全年执行数829.23万元。预算绩效管理取得的成效：一是在我区采集牛、羊、骆驼、鹿等反刍动物血清学和病原学样品，帮助基层及时解决动物疫病诊疗和防疫实际问题；二是对采集的样品进行口蹄疫、小反刍兽疫、冠状病毒、</w:t>
      </w:r>
      <w:r>
        <w:rPr>
          <w:rFonts w:hint="eastAsia" w:ascii="仿宋_GB2312" w:eastAsia="仿宋_GB2312"/>
          <w:sz w:val="32"/>
          <w:szCs w:val="32"/>
          <w:lang w:eastAsia="zh-CN"/>
        </w:rPr>
        <w:t>布鲁氏菌病</w:t>
      </w:r>
      <w:bookmarkStart w:id="0" w:name="_GoBack"/>
      <w:bookmarkEnd w:id="0"/>
      <w:r>
        <w:rPr>
          <w:rFonts w:ascii="仿宋_GB2312" w:eastAsia="仿宋_GB2312"/>
          <w:sz w:val="32"/>
          <w:szCs w:val="32"/>
          <w:lang w:eastAsia="zh-CN"/>
        </w:rPr>
        <w:t>、结核病、副结核病、包虫病等病原和抗体检测，对促进我国和我区畜牧业的科技进步和生产发展起到了积极作用。发现的问题及原因：一是改进管理方式方法，提高资金使用效益；二是有的绩效评价指标设置不科学，需要改进。下一步改进措施：一是要加强绩效“全过程”管理力度，按时完成绩效管理任务；二是合理设置绩效评价指标。具体附项目支出绩效自评表。</w:t>
      </w:r>
    </w:p>
    <w:p w14:paraId="5CCEAA1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AC13D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52BFD8FC">
      <w:pPr>
        <w:spacing w:after="0" w:line="240" w:lineRule="auto"/>
        <w:ind w:firstLine="640" w:firstLineChars="200"/>
        <w:rPr>
          <w:rFonts w:ascii="仿宋_GB2312" w:eastAsia="仿宋_GB2312"/>
          <w:sz w:val="32"/>
          <w:szCs w:val="32"/>
          <w:lang w:eastAsia="zh-CN"/>
        </w:rPr>
      </w:pPr>
    </w:p>
    <w:p w14:paraId="1E544743">
      <w:pPr>
        <w:rPr>
          <w:lang w:eastAsia="zh-CN"/>
        </w:rPr>
      </w:pPr>
      <w:r>
        <w:rPr>
          <w:sz w:val="0"/>
          <w:szCs w:val="0"/>
          <w:lang w:eastAsia="zh-CN"/>
        </w:rPr>
        <w:br w:type="page"/>
      </w:r>
    </w:p>
    <w:p w14:paraId="7017DE1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61EA927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5EF7741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B47112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44D1E4C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38AF90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720CD16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6A41AF7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7D5F8F7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5FD83E5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2292C5F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6156766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0A2A0E0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2631C74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148DE88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6D28F528">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041FE62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37AAD4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6AB8E751">
      <w:pPr>
        <w:rPr>
          <w:lang w:eastAsia="zh-CN"/>
        </w:rPr>
      </w:pPr>
      <w:r>
        <w:rPr>
          <w:sz w:val="0"/>
          <w:szCs w:val="0"/>
          <w:lang w:eastAsia="zh-CN"/>
        </w:rPr>
        <w:br w:type="page"/>
      </w:r>
    </w:p>
    <w:p w14:paraId="173AFBD2">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86BA09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16D70E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A50A7D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B837CF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B08653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8B8E93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A45B8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0ECE69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BA855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1C5C0F"/>
    <w:rsid w:val="000A497D"/>
    <w:rsid w:val="001C5C0F"/>
    <w:rsid w:val="003141A0"/>
    <w:rsid w:val="003B2BE4"/>
    <w:rsid w:val="00742382"/>
    <w:rsid w:val="00834B08"/>
    <w:rsid w:val="00847D0F"/>
    <w:rsid w:val="00870123"/>
    <w:rsid w:val="008D2987"/>
    <w:rsid w:val="0096466F"/>
    <w:rsid w:val="00A173C0"/>
    <w:rsid w:val="00A651BC"/>
    <w:rsid w:val="00B942A6"/>
    <w:rsid w:val="00E07959"/>
    <w:rsid w:val="00FB219B"/>
    <w:rsid w:val="00FE05C6"/>
    <w:rsid w:val="2EEA4D46"/>
    <w:rsid w:val="56722932"/>
    <w:rsid w:val="56A30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1"/>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22"/>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3"/>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4"/>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annotation text"/>
    <w:basedOn w:val="1"/>
    <w:unhideWhenUsed/>
    <w:qFormat/>
    <w:uiPriority w:val="99"/>
  </w:style>
  <w:style w:type="paragraph" w:styleId="9">
    <w:name w:val="Balloon Text"/>
    <w:basedOn w:val="1"/>
    <w:link w:val="28"/>
    <w:semiHidden/>
    <w:unhideWhenUsed/>
    <w:qFormat/>
    <w:uiPriority w:val="99"/>
    <w:pPr>
      <w:spacing w:after="0" w:line="240" w:lineRule="auto"/>
    </w:pPr>
    <w:rPr>
      <w:sz w:val="18"/>
      <w:szCs w:val="18"/>
    </w:rPr>
  </w:style>
  <w:style w:type="paragraph" w:styleId="10">
    <w:name w:val="footer"/>
    <w:basedOn w:val="1"/>
    <w:link w:val="27"/>
    <w:unhideWhenUsed/>
    <w:qFormat/>
    <w:uiPriority w:val="99"/>
    <w:pPr>
      <w:tabs>
        <w:tab w:val="center" w:pos="4153"/>
        <w:tab w:val="right" w:pos="8306"/>
      </w:tabs>
      <w:snapToGrid w:val="0"/>
      <w:spacing w:line="240" w:lineRule="auto"/>
    </w:pPr>
    <w:rPr>
      <w:sz w:val="18"/>
      <w:szCs w:val="18"/>
    </w:rPr>
  </w:style>
  <w:style w:type="paragraph" w:styleId="11">
    <w:name w:val="header"/>
    <w:basedOn w:val="1"/>
    <w:link w:val="20"/>
    <w:unhideWhenUsed/>
    <w:qFormat/>
    <w:uiPriority w:val="99"/>
    <w:pPr>
      <w:tabs>
        <w:tab w:val="center" w:pos="4680"/>
        <w:tab w:val="right" w:pos="9360"/>
      </w:tabs>
    </w:pPr>
  </w:style>
  <w:style w:type="paragraph" w:styleId="12">
    <w:name w:val="Subtitle"/>
    <w:basedOn w:val="1"/>
    <w:next w:val="1"/>
    <w:link w:val="25"/>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3">
    <w:name w:val="Title"/>
    <w:basedOn w:val="1"/>
    <w:next w:val="1"/>
    <w:link w:val="26"/>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7">
    <w:name w:val="Emphasis"/>
    <w:basedOn w:val="16"/>
    <w:qFormat/>
    <w:uiPriority w:val="20"/>
    <w:rPr>
      <w:i/>
      <w:iCs/>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页眉 字符"/>
    <w:basedOn w:val="16"/>
    <w:link w:val="11"/>
    <w:qFormat/>
    <w:uiPriority w:val="99"/>
  </w:style>
  <w:style w:type="character" w:customStyle="1" w:styleId="21">
    <w:name w:val="标题 1 字符"/>
    <w:basedOn w:val="16"/>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22">
    <w:name w:val="标题 2 字符"/>
    <w:basedOn w:val="16"/>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3">
    <w:name w:val="标题 3 字符"/>
    <w:basedOn w:val="16"/>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4">
    <w:name w:val="标题 4 字符"/>
    <w:basedOn w:val="16"/>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5">
    <w:name w:val="副标题 字符"/>
    <w:basedOn w:val="16"/>
    <w:link w:val="12"/>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6">
    <w:name w:val="标题 字符"/>
    <w:basedOn w:val="16"/>
    <w:link w:val="13"/>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7">
    <w:name w:val="页脚 字符"/>
    <w:basedOn w:val="16"/>
    <w:link w:val="10"/>
    <w:qFormat/>
    <w:uiPriority w:val="99"/>
    <w:rPr>
      <w:sz w:val="18"/>
      <w:szCs w:val="18"/>
    </w:rPr>
  </w:style>
  <w:style w:type="character" w:customStyle="1" w:styleId="28">
    <w:name w:val="批注框文本 字符"/>
    <w:basedOn w:val="16"/>
    <w:link w:val="9"/>
    <w:semiHidden/>
    <w:qFormat/>
    <w:uiPriority w:val="99"/>
    <w:rPr>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5915</Words>
  <Characters>6588</Characters>
  <Lines>48</Lines>
  <Paragraphs>13</Paragraphs>
  <TotalTime>3</TotalTime>
  <ScaleCrop>false</ScaleCrop>
  <LinksUpToDate>false</LinksUpToDate>
  <CharactersWithSpaces>6595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2026-08-14T10:46:00Z</dcterms:created>
  <dc:creator>lenovo</dc:creator>
  <cp:lastModifiedBy>雨。</cp:lastModifiedBy>
  <dcterms:modified xsi:type="dcterms:W3CDTF">2026-08-29T14:08:22Z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95810704E1724917A6C1A03A71279B02_12</vt:lpwstr>
  </property>
  <property fmtid="{D5CDD505-2E9C-101B-9397-08002B2CF9AE}" pid="4" name="KSOTemplateDocerSaveRecord">
    <vt:lpwstr>eyJoZGlkIjoiYTZjZThjMDFjYjU0NDRjYWE1YjFlZmFjNmU0NDBiYTgiLCJ1c2VySWQiOiI0NjExNzA3OTgifQ==</vt:lpwstr>
  </property>
</Properties>
</file>