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5742D">
      <w:pPr>
        <w:widowControl/>
        <w:spacing w:before="0" w:beforeLines="0" w:beforeAutospacing="0" w:after="0" w:afterLines="0" w:afterAutospacing="0" w:line="240" w:lineRule="auto"/>
        <w:jc w:val="left"/>
        <w:rPr>
          <w:rFonts w:ascii="宋体" w:eastAsia="宋体"/>
          <w:sz w:val="32"/>
          <w:szCs w:val="32"/>
        </w:rPr>
      </w:pPr>
    </w:p>
    <w:p w14:paraId="029FDEB4">
      <w:pPr>
        <w:widowControl/>
        <w:spacing w:before="0" w:beforeLines="0" w:beforeAutospacing="0" w:after="0" w:afterLines="0" w:afterAutospacing="0" w:line="240" w:lineRule="auto"/>
        <w:jc w:val="left"/>
        <w:rPr>
          <w:rFonts w:ascii="宋体" w:eastAsia="宋体"/>
          <w:sz w:val="44"/>
          <w:szCs w:val="44"/>
        </w:rPr>
      </w:pPr>
    </w:p>
    <w:p w14:paraId="1ADC9581">
      <w:pPr>
        <w:widowControl/>
        <w:spacing w:before="0" w:beforeLines="0" w:beforeAutospacing="0" w:after="0" w:afterLines="0" w:afterAutospacing="0" w:line="240" w:lineRule="auto"/>
        <w:jc w:val="left"/>
        <w:rPr>
          <w:rFonts w:ascii="宋体" w:eastAsia="宋体"/>
          <w:sz w:val="44"/>
          <w:szCs w:val="44"/>
        </w:rPr>
      </w:pPr>
    </w:p>
    <w:p w14:paraId="7B2A4E17">
      <w:pPr>
        <w:widowControl/>
        <w:spacing w:before="0" w:beforeLines="0" w:beforeAutospacing="0" w:after="0" w:afterLines="0" w:afterAutospacing="0" w:line="240" w:lineRule="auto"/>
        <w:jc w:val="left"/>
        <w:rPr>
          <w:rFonts w:ascii="宋体" w:eastAsia="宋体"/>
          <w:sz w:val="44"/>
          <w:szCs w:val="44"/>
        </w:rPr>
      </w:pPr>
    </w:p>
    <w:p w14:paraId="312CBACF">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新疆畜牧科学院草业研究所</w:t>
      </w:r>
    </w:p>
    <w:p w14:paraId="732E7D25">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26BD4FDB">
      <w:pPr>
        <w:widowControl/>
      </w:pPr>
      <w:r>
        <w:rPr>
          <w:b w:val="0"/>
          <w:sz w:val="0"/>
          <w:szCs w:val="0"/>
        </w:rPr>
        <w:br w:type="page"/>
      </w:r>
    </w:p>
    <w:p w14:paraId="7A2C3C61">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5C5243B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14:paraId="0AAA19E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52B9610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7C1FBBA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11A8421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4F870B7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22C4355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0428DA0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7CA4319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019E2C3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21712C2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37B311E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1744BA4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6F68D6F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6A9A414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03BFE6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40118A7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4FF6AE9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248EAB0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5E0B0C8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2A7E977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5B21AD2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58754CB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72B5C4F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28DF9D3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79E13C4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2981AC9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7BF5850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478710D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443B7D7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26CE5BA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5ADDDC7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616227C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16F6F684">
      <w:pPr>
        <w:widowControl/>
      </w:pPr>
      <w:r>
        <w:rPr>
          <w:b w:val="0"/>
          <w:sz w:val="0"/>
          <w:szCs w:val="0"/>
        </w:rPr>
        <w:br w:type="page"/>
      </w:r>
    </w:p>
    <w:p w14:paraId="569465E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7ACFDAB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2CBCEE7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畜牧科学院草业研究所是新疆唯一一家集科研、技术推广为一体的草业科学研究机构，其任务围绕着自治区草业科学新技术研究与应用技术的研发，主要以干旱区草地生态农业和草地资源与生态为重点建设学科。包括：草地资源动态监测与保护利用、草地生态与植被恢复、植物生物技术与遗传育种、牧草种质资源保护与创新利用、人工饲草料地建植与丰产栽培技术研究等。拥有植物生物技术实验室、3S技术实验室、新疆阜康草地农业生态实验站、农业部新疆驼绒藜等旱生牧草原种基地、新疆畜牧科学院草地动态监测站。</w:t>
      </w:r>
    </w:p>
    <w:p w14:paraId="23E3633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48DEE86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新疆畜牧科学院草业研究所无下属预算单位。</w:t>
      </w:r>
    </w:p>
    <w:p w14:paraId="5B2F1AB5">
      <w:pPr>
        <w:widowControl/>
      </w:pPr>
      <w:r>
        <w:rPr>
          <w:b w:val="0"/>
          <w:sz w:val="0"/>
          <w:szCs w:val="0"/>
        </w:rPr>
        <w:br w:type="page"/>
      </w:r>
    </w:p>
    <w:p w14:paraId="07A66CC3">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5AF4935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5D84531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2025年度收入总计2,638.27万元，其中：本年收入合计2,251.53万元，使用非财政拨款结余（含专用结余）0.00万元，年初结转和结余386.74万元。</w:t>
      </w:r>
    </w:p>
    <w:p w14:paraId="5E0BF6F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2025年度支出总计2,638.27万元，其中：本年支出合计2,315.28万元，结余分配8.12万元，年末结转和结余314.87万元。</w:t>
      </w:r>
    </w:p>
    <w:p w14:paraId="2821F4A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收入支出总体与上年相比，减少333.46万元，下降11.22%，主要原因是：</w:t>
      </w:r>
      <w:r>
        <w:rPr>
          <w:rFonts w:ascii="仿宋_GB2312" w:eastAsia="仿宋_GB2312"/>
          <w:sz w:val="32"/>
          <w:szCs w:val="32"/>
          <w:lang w:eastAsia="zh-CN"/>
        </w:rPr>
        <w:t>本年减少丧葬费抚恤金、</w:t>
      </w:r>
      <w:r>
        <w:rPr>
          <w:rFonts w:hint="eastAsia" w:ascii="仿宋_GB2312" w:eastAsia="仿宋_GB2312"/>
          <w:sz w:val="32"/>
          <w:szCs w:val="32"/>
          <w:lang w:val="en-US" w:eastAsia="zh-CN"/>
        </w:rPr>
        <w:t>为民办实事</w:t>
      </w:r>
      <w:r>
        <w:rPr>
          <w:rFonts w:ascii="仿宋_GB2312" w:eastAsia="仿宋_GB2312"/>
          <w:sz w:val="32"/>
          <w:szCs w:val="32"/>
          <w:lang w:eastAsia="zh-CN"/>
        </w:rPr>
        <w:t>南疆工作补贴经费、</w:t>
      </w:r>
      <w:r>
        <w:rPr>
          <w:rFonts w:hint="eastAsia" w:ascii="仿宋_GB2312" w:eastAsia="仿宋_GB2312"/>
          <w:sz w:val="32"/>
          <w:szCs w:val="32"/>
          <w:lang w:eastAsia="zh-CN"/>
        </w:rPr>
        <w:t>“三区”科技人才支持计划</w:t>
      </w:r>
      <w:r>
        <w:rPr>
          <w:rFonts w:ascii="仿宋_GB2312" w:eastAsia="仿宋_GB2312"/>
          <w:sz w:val="32"/>
          <w:szCs w:val="32"/>
          <w:lang w:eastAsia="zh-CN"/>
        </w:rPr>
        <w:t>项目经费、智力援疆创新拓展人才计划项目经费</w:t>
      </w:r>
      <w:r>
        <w:rPr>
          <w:rFonts w:hint="eastAsia" w:ascii="仿宋_GB2312" w:eastAsia="仿宋_GB2312"/>
          <w:sz w:val="32"/>
          <w:szCs w:val="32"/>
          <w:lang w:eastAsia="zh-CN"/>
        </w:rPr>
        <w:t>、天池英才引进计划</w:t>
      </w:r>
      <w:r>
        <w:rPr>
          <w:rFonts w:ascii="仿宋_GB2312" w:eastAsia="仿宋_GB2312"/>
          <w:sz w:val="32"/>
          <w:szCs w:val="32"/>
          <w:lang w:eastAsia="zh-CN"/>
        </w:rPr>
        <w:t>项目经费</w:t>
      </w:r>
      <w:r>
        <w:rPr>
          <w:rFonts w:hint="eastAsia" w:ascii="仿宋_GB2312" w:eastAsia="仿宋_GB2312"/>
          <w:sz w:val="32"/>
          <w:szCs w:val="32"/>
          <w:lang w:eastAsia="zh-CN"/>
        </w:rPr>
        <w:t>、新疆智慧牧草良种繁育创新基地建设</w:t>
      </w:r>
      <w:r>
        <w:rPr>
          <w:rFonts w:ascii="仿宋_GB2312" w:eastAsia="仿宋_GB2312"/>
          <w:sz w:val="32"/>
          <w:szCs w:val="32"/>
          <w:lang w:eastAsia="zh-CN"/>
        </w:rPr>
        <w:t>项目经费</w:t>
      </w:r>
      <w:r>
        <w:rPr>
          <w:rFonts w:ascii="仿宋_GB2312" w:eastAsia="仿宋_GB2312"/>
          <w:b w:val="0"/>
          <w:sz w:val="32"/>
          <w:szCs w:val="32"/>
        </w:rPr>
        <w:t>。</w:t>
      </w:r>
    </w:p>
    <w:p w14:paraId="2D657D5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2C1C343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2,251.53万元，其中：财政拨款收入1,895.02万元,占84.17%；上级补助收入0.00万元,占0.00%；事业收入207.40万元，占9.21%；经营收入0.00万元,占0.00%；附属单位上缴收入0.00万元，占0.00%；其他收入149.10万元，占6.62%。</w:t>
      </w:r>
    </w:p>
    <w:p w14:paraId="65A0C3A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79415CA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本年支出2,315.28万元，其中：基本支出1,668.02万元，占72.04%；项目支出647.26万元，占27.96%；上缴上级支出0.00万元，占0.00%；经营支出0.00万元，占0.00%；对附属单位补助支出0.00万元，占0.00%。</w:t>
      </w:r>
    </w:p>
    <w:p w14:paraId="4A61A7C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68D54DA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1,895.02万元，其中：年初财政拨款结转和结余0.00万元，本年财政拨款收入1,895.02万元。财政拨款支出总计1,895.02万元，其中：年末财政拨款结转和结余0.00万元，本年财政拨款支出1,895.02万元。</w:t>
      </w:r>
    </w:p>
    <w:p w14:paraId="715793C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财政拨款收入支出总体与上年相比，增加44.38万元，增长2.40%，主要原因是：本年度职工工资较上年普调，职工基本医疗保险</w:t>
      </w:r>
      <w:r>
        <w:rPr>
          <w:rFonts w:hint="eastAsia" w:ascii="仿宋_GB2312" w:eastAsia="仿宋_GB2312"/>
          <w:b w:val="0"/>
          <w:sz w:val="32"/>
          <w:szCs w:val="32"/>
          <w:lang w:eastAsia="zh-CN"/>
        </w:rPr>
        <w:t>、</w:t>
      </w:r>
      <w:r>
        <w:rPr>
          <w:rFonts w:ascii="仿宋_GB2312" w:eastAsia="仿宋_GB2312"/>
          <w:b w:val="0"/>
          <w:sz w:val="32"/>
          <w:szCs w:val="32"/>
        </w:rPr>
        <w:t>职业年金单位缴费</w:t>
      </w:r>
      <w:r>
        <w:rPr>
          <w:rFonts w:hint="eastAsia" w:ascii="仿宋_GB2312" w:eastAsia="仿宋_GB2312"/>
          <w:b w:val="0"/>
          <w:sz w:val="32"/>
          <w:szCs w:val="32"/>
          <w:lang w:val="en-US" w:eastAsia="zh-CN"/>
        </w:rPr>
        <w:t>较上年增加</w:t>
      </w:r>
      <w:r>
        <w:rPr>
          <w:rFonts w:ascii="仿宋_GB2312" w:eastAsia="仿宋_GB2312"/>
          <w:b w:val="0"/>
          <w:sz w:val="32"/>
          <w:szCs w:val="32"/>
        </w:rPr>
        <w:t>，天山英才培养计划项目经费及产业技术创新团队支持计划经费</w:t>
      </w:r>
      <w:r>
        <w:rPr>
          <w:rFonts w:hint="eastAsia" w:ascii="仿宋_GB2312" w:eastAsia="仿宋_GB2312"/>
          <w:b w:val="0"/>
          <w:sz w:val="32"/>
          <w:szCs w:val="32"/>
          <w:lang w:val="en-US" w:eastAsia="zh-CN"/>
        </w:rPr>
        <w:t>较上年增加</w:t>
      </w:r>
      <w:r>
        <w:rPr>
          <w:rFonts w:ascii="仿宋_GB2312" w:eastAsia="仿宋_GB2312"/>
          <w:b w:val="0"/>
          <w:sz w:val="32"/>
          <w:szCs w:val="32"/>
        </w:rPr>
        <w:t>。与年初预算相比，年初预算数1,506.95万元，决算数1,895.02万元，预决算差异率25.75%，主要原因是：</w:t>
      </w:r>
      <w:r>
        <w:rPr>
          <w:rFonts w:hint="eastAsia" w:ascii="仿宋_GB2312" w:eastAsia="仿宋_GB2312"/>
          <w:b w:val="0"/>
          <w:sz w:val="32"/>
          <w:szCs w:val="32"/>
          <w:lang w:val="en-US" w:eastAsia="zh-CN"/>
        </w:rPr>
        <w:t>年中追加人员工资、社保、公积金基数调增部分资金及做实2025年职业年金，导致预决算存在差异；年中</w:t>
      </w:r>
      <w:r>
        <w:rPr>
          <w:rFonts w:ascii="仿宋_GB2312" w:eastAsia="仿宋_GB2312"/>
          <w:b w:val="0"/>
          <w:sz w:val="32"/>
          <w:szCs w:val="32"/>
        </w:rPr>
        <w:t>追加天山英才培养计划项目经费</w:t>
      </w:r>
      <w:r>
        <w:rPr>
          <w:rFonts w:hint="eastAsia" w:ascii="仿宋_GB2312" w:eastAsia="仿宋_GB2312"/>
          <w:b w:val="0"/>
          <w:sz w:val="32"/>
          <w:szCs w:val="32"/>
          <w:lang w:eastAsia="zh-CN"/>
        </w:rPr>
        <w:t>、</w:t>
      </w:r>
      <w:r>
        <w:rPr>
          <w:rFonts w:ascii="仿宋_GB2312" w:eastAsia="仿宋_GB2312"/>
          <w:b w:val="0"/>
          <w:sz w:val="32"/>
          <w:szCs w:val="32"/>
        </w:rPr>
        <w:t>产业技术创新团队支持计划项目经费</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导致预决算存在差异</w:t>
      </w:r>
      <w:r>
        <w:rPr>
          <w:rFonts w:ascii="仿宋_GB2312" w:eastAsia="仿宋_GB2312"/>
          <w:b w:val="0"/>
          <w:sz w:val="32"/>
          <w:szCs w:val="32"/>
        </w:rPr>
        <w:t>。</w:t>
      </w:r>
    </w:p>
    <w:p w14:paraId="673AAF4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73CF984A">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机构运转、科研保障、重点项目等重点支出，体现在有关支出科目中。</w:t>
      </w:r>
    </w:p>
    <w:p w14:paraId="483A575D">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按照支出功能分类，科学技术支出（类）应用研究（款）机构运行（项）的支出占本年财政拨款支出总额的比重最高，2025年度决算数为1,668.02万元，占比88.02%，主要用于</w:t>
      </w:r>
      <w:r>
        <w:rPr>
          <w:rFonts w:hint="eastAsia" w:ascii="仿宋_GB2312" w:eastAsia="仿宋_GB2312"/>
          <w:b w:val="0"/>
          <w:sz w:val="32"/>
          <w:szCs w:val="32"/>
          <w:lang w:val="en-US" w:eastAsia="zh-CN"/>
        </w:rPr>
        <w:t>人员工资福利、日常公用经费</w:t>
      </w:r>
      <w:r>
        <w:rPr>
          <w:rFonts w:ascii="仿宋_GB2312" w:eastAsia="仿宋_GB2312"/>
          <w:b w:val="0"/>
          <w:sz w:val="32"/>
          <w:szCs w:val="32"/>
        </w:rPr>
        <w:t>。</w:t>
      </w:r>
    </w:p>
    <w:p w14:paraId="0EA5F974">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4E8806A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2025年度一般公共预算财政拨款支出1,895.02万元，占本年支出合计的81.85%。与上年相比，增加44.38万元，增长2.40%，主要原因是：本年度职工工资较上年普调，职工基本医疗保险</w:t>
      </w:r>
      <w:r>
        <w:rPr>
          <w:rFonts w:hint="eastAsia" w:ascii="仿宋_GB2312" w:eastAsia="仿宋_GB2312"/>
          <w:b w:val="0"/>
          <w:sz w:val="32"/>
          <w:szCs w:val="32"/>
          <w:lang w:eastAsia="zh-CN"/>
        </w:rPr>
        <w:t>、</w:t>
      </w:r>
      <w:r>
        <w:rPr>
          <w:rFonts w:ascii="仿宋_GB2312" w:eastAsia="仿宋_GB2312"/>
          <w:b w:val="0"/>
          <w:sz w:val="32"/>
          <w:szCs w:val="32"/>
        </w:rPr>
        <w:t>职业年金单位缴费</w:t>
      </w:r>
      <w:r>
        <w:rPr>
          <w:rFonts w:hint="eastAsia" w:ascii="仿宋_GB2312" w:eastAsia="仿宋_GB2312"/>
          <w:b w:val="0"/>
          <w:sz w:val="32"/>
          <w:szCs w:val="32"/>
          <w:lang w:val="en-US" w:eastAsia="zh-CN"/>
        </w:rPr>
        <w:t>较上年增加</w:t>
      </w:r>
      <w:r>
        <w:rPr>
          <w:rFonts w:ascii="仿宋_GB2312" w:eastAsia="仿宋_GB2312"/>
          <w:b w:val="0"/>
          <w:sz w:val="32"/>
          <w:szCs w:val="32"/>
        </w:rPr>
        <w:t>，天山英才培养计划项目经费及产业技术创新团队支持计划经费</w:t>
      </w:r>
      <w:r>
        <w:rPr>
          <w:rFonts w:hint="eastAsia" w:ascii="仿宋_GB2312" w:eastAsia="仿宋_GB2312"/>
          <w:b w:val="0"/>
          <w:sz w:val="32"/>
          <w:szCs w:val="32"/>
          <w:lang w:val="en-US" w:eastAsia="zh-CN"/>
        </w:rPr>
        <w:t>较上年增加</w:t>
      </w:r>
      <w:r>
        <w:rPr>
          <w:rFonts w:ascii="仿宋_GB2312" w:eastAsia="仿宋_GB2312"/>
          <w:b w:val="0"/>
          <w:sz w:val="32"/>
          <w:szCs w:val="32"/>
        </w:rPr>
        <w:t>。与年初预算相比，年初预算数1,506.95万元，决算数1,895.02万元，预决算差异率25.75%，主要原因是：</w:t>
      </w:r>
      <w:r>
        <w:rPr>
          <w:rFonts w:hint="eastAsia" w:ascii="仿宋_GB2312" w:eastAsia="仿宋_GB2312"/>
          <w:b w:val="0"/>
          <w:sz w:val="32"/>
          <w:szCs w:val="32"/>
          <w:lang w:val="en-US" w:eastAsia="zh-CN"/>
        </w:rPr>
        <w:t>年中追加人员工资、社保、公积金基数调增部分资金及做实2025年职业年金，导致预决算存在差异；年中</w:t>
      </w:r>
      <w:r>
        <w:rPr>
          <w:rFonts w:ascii="仿宋_GB2312" w:eastAsia="仿宋_GB2312"/>
          <w:b w:val="0"/>
          <w:sz w:val="32"/>
          <w:szCs w:val="32"/>
        </w:rPr>
        <w:t>追加天山英才培养计划项目经费</w:t>
      </w:r>
      <w:r>
        <w:rPr>
          <w:rFonts w:hint="eastAsia" w:ascii="仿宋_GB2312" w:eastAsia="仿宋_GB2312"/>
          <w:b w:val="0"/>
          <w:sz w:val="32"/>
          <w:szCs w:val="32"/>
          <w:lang w:eastAsia="zh-CN"/>
        </w:rPr>
        <w:t>、</w:t>
      </w:r>
      <w:r>
        <w:rPr>
          <w:rFonts w:ascii="仿宋_GB2312" w:eastAsia="仿宋_GB2312"/>
          <w:b w:val="0"/>
          <w:sz w:val="32"/>
          <w:szCs w:val="32"/>
        </w:rPr>
        <w:t>产业技术创新团队支持计划项目经费</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导致预决算存在差异</w:t>
      </w:r>
      <w:r>
        <w:rPr>
          <w:rFonts w:ascii="仿宋_GB2312" w:eastAsia="仿宋_GB2312"/>
          <w:b w:val="0"/>
          <w:sz w:val="32"/>
          <w:szCs w:val="32"/>
        </w:rPr>
        <w:t>。</w:t>
      </w:r>
    </w:p>
    <w:p w14:paraId="3598FEC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1CD1D3D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1.科学技术支出（类）1,668.02万元，占88.02%。</w:t>
      </w:r>
    </w:p>
    <w:p w14:paraId="4F7D8CFD">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val="en-US" w:eastAsia="zh-CN"/>
        </w:rPr>
      </w:pPr>
      <w:r>
        <w:rPr>
          <w:rFonts w:ascii="仿宋_GB2312" w:eastAsia="仿宋_GB2312"/>
          <w:b w:val="0"/>
          <w:sz w:val="32"/>
          <w:szCs w:val="32"/>
        </w:rPr>
        <w:t>2.农林水支出（类）227.00万元，占11.98%。</w:t>
      </w:r>
    </w:p>
    <w:p w14:paraId="5A903D0A">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17114C9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w:t>
      </w:r>
      <w:r>
        <w:rPr>
          <w:rFonts w:hint="eastAsia" w:ascii="仿宋_GB2312" w:eastAsia="仿宋_GB2312"/>
          <w:b w:val="0"/>
          <w:sz w:val="32"/>
          <w:szCs w:val="32"/>
          <w:lang w:val="en-US" w:eastAsia="zh-CN"/>
        </w:rPr>
        <w:t>.</w:t>
      </w:r>
      <w:r>
        <w:rPr>
          <w:rFonts w:ascii="仿宋_GB2312" w:eastAsia="仿宋_GB2312"/>
          <w:b w:val="0"/>
          <w:sz w:val="32"/>
          <w:szCs w:val="32"/>
        </w:rPr>
        <w:t>科学技术支出（类）应用研究（款）机构运行（项）：支出决算数为1,668.02万元，比上年决算增加88.99万元，增长5.64%，主要原因是：</w:t>
      </w:r>
      <w:r>
        <w:rPr>
          <w:rFonts w:hint="eastAsia" w:ascii="仿宋_GB2312" w:eastAsia="仿宋_GB2312"/>
          <w:sz w:val="32"/>
          <w:szCs w:val="32"/>
        </w:rPr>
        <w:t>本年在职人员工资调增，导致</w:t>
      </w:r>
      <w:r>
        <w:rPr>
          <w:rFonts w:hint="eastAsia" w:ascii="仿宋_GB2312" w:eastAsia="仿宋_GB2312"/>
          <w:sz w:val="32"/>
          <w:szCs w:val="32"/>
          <w:lang w:val="en-US" w:eastAsia="zh-CN"/>
        </w:rPr>
        <w:t>工资、社保等</w:t>
      </w:r>
      <w:r>
        <w:rPr>
          <w:rFonts w:hint="eastAsia" w:ascii="仿宋_GB2312" w:eastAsia="仿宋_GB2312"/>
          <w:sz w:val="32"/>
          <w:szCs w:val="32"/>
        </w:rPr>
        <w:t>相关人员经费较上年有所增加</w:t>
      </w:r>
      <w:r>
        <w:rPr>
          <w:rFonts w:ascii="仿宋_GB2312" w:eastAsia="仿宋_GB2312"/>
          <w:b w:val="0"/>
          <w:sz w:val="32"/>
          <w:szCs w:val="32"/>
        </w:rPr>
        <w:t>。</w:t>
      </w:r>
    </w:p>
    <w:p w14:paraId="5C5C7C6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val="en-US" w:eastAsia="zh-CN"/>
        </w:rPr>
        <w:t>.</w:t>
      </w:r>
      <w:r>
        <w:rPr>
          <w:rFonts w:ascii="仿宋_GB2312" w:eastAsia="仿宋_GB2312"/>
          <w:b w:val="0"/>
          <w:sz w:val="32"/>
          <w:szCs w:val="32"/>
        </w:rPr>
        <w:t>科学技术支出（类）科技条件与服务（款）其他科技条件与服务支出（项）：支出决算数为0.00万元，比上年决算减少3.60万元，下降100.00%，主要原因是：2025年度无三区科技人才支持计划经费。</w:t>
      </w:r>
    </w:p>
    <w:p w14:paraId="4615D6D0">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w:t>
      </w:r>
      <w:r>
        <w:rPr>
          <w:rFonts w:hint="eastAsia" w:ascii="仿宋_GB2312" w:eastAsia="仿宋_GB2312"/>
          <w:b w:val="0"/>
          <w:sz w:val="32"/>
          <w:szCs w:val="32"/>
          <w:lang w:val="en-US" w:eastAsia="zh-CN"/>
        </w:rPr>
        <w:t>.</w:t>
      </w:r>
      <w:r>
        <w:rPr>
          <w:rFonts w:ascii="仿宋_GB2312" w:eastAsia="仿宋_GB2312"/>
          <w:b w:val="0"/>
          <w:sz w:val="32"/>
          <w:szCs w:val="32"/>
        </w:rPr>
        <w:t>社会保障和就业支出（类）人力资源和社会保障管理事务（款）其他人力资源和社会保障管理事务支出（项）：支出决算数为0.00万元，比上年决算减少30.00万元，下降100.00%，主要原因是：2025年度无天池英才引进计划项目经费。</w:t>
      </w:r>
    </w:p>
    <w:p w14:paraId="76539D5C">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w:t>
      </w:r>
      <w:r>
        <w:rPr>
          <w:rFonts w:hint="eastAsia" w:ascii="仿宋_GB2312" w:eastAsia="仿宋_GB2312"/>
          <w:b w:val="0"/>
          <w:sz w:val="32"/>
          <w:szCs w:val="32"/>
          <w:lang w:val="en-US" w:eastAsia="zh-CN"/>
        </w:rPr>
        <w:t>.</w:t>
      </w:r>
      <w:r>
        <w:rPr>
          <w:rFonts w:ascii="仿宋_GB2312" w:eastAsia="仿宋_GB2312"/>
          <w:b w:val="0"/>
          <w:sz w:val="32"/>
          <w:szCs w:val="32"/>
        </w:rPr>
        <w:t>农林水支出（类）农业农村（款）科技转化与推广服务（项）：支出决算数为152.00万元，比上年决算增加22.00万元，增长16.92%，主要原因是：2025年度天山英才培养计划项目经费及产业技术创新团队支持计划项目经费较上年增加。</w:t>
      </w:r>
    </w:p>
    <w:p w14:paraId="4D289ED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w:t>
      </w:r>
      <w:r>
        <w:rPr>
          <w:rFonts w:hint="eastAsia" w:ascii="仿宋_GB2312" w:eastAsia="仿宋_GB2312"/>
          <w:b w:val="0"/>
          <w:sz w:val="32"/>
          <w:szCs w:val="32"/>
          <w:lang w:val="en-US" w:eastAsia="zh-CN"/>
        </w:rPr>
        <w:t>.</w:t>
      </w:r>
      <w:r>
        <w:rPr>
          <w:rFonts w:ascii="仿宋_GB2312" w:eastAsia="仿宋_GB2312"/>
          <w:b w:val="0"/>
          <w:sz w:val="32"/>
          <w:szCs w:val="32"/>
        </w:rPr>
        <w:t>农林水支出（类）农业农村（款）农业生产发展（项）：支出决算数为30.00万元，比上年决算减少18.00万元，下降37.50%，主要原因是：2025年度无奶业生产发展项目经费，新疆饲草产业技术体系项目经费安排比上年减少。</w:t>
      </w:r>
    </w:p>
    <w:p w14:paraId="3FA185A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w:t>
      </w:r>
      <w:r>
        <w:rPr>
          <w:rFonts w:hint="eastAsia" w:ascii="仿宋_GB2312" w:eastAsia="仿宋_GB2312"/>
          <w:b w:val="0"/>
          <w:sz w:val="32"/>
          <w:szCs w:val="32"/>
          <w:lang w:val="en-US" w:eastAsia="zh-CN"/>
        </w:rPr>
        <w:t>.</w:t>
      </w:r>
      <w:r>
        <w:rPr>
          <w:rFonts w:ascii="仿宋_GB2312" w:eastAsia="仿宋_GB2312"/>
          <w:b w:val="0"/>
          <w:sz w:val="32"/>
          <w:szCs w:val="32"/>
        </w:rPr>
        <w:t>农林水支出（类）林业和草原（款）技术推广与转化（项）：支出决算数为45.00万元，比上年决算减少15.00万元，下降25.00%，主要原因是：2025年度退化草原评价与修复治理模式示范与推广项目经费比上年减少。</w:t>
      </w:r>
    </w:p>
    <w:p w14:paraId="65F3605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59A98D1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1,668.02万元，其中：人员经费1,578.69万元，包括：基本工资、津贴补贴、奖金、绩效工资、机关事业单位基本养老保险缴费、职业年金缴费、职工基本医疗保险缴费、公务员医疗补助缴费、其他社会保障缴费、住房公积金、退休费和其他对个人和家庭的补助。</w:t>
      </w:r>
    </w:p>
    <w:p w14:paraId="1A3CDAC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公用经费89.34万元，包括：办公费、水费、电费、邮电费、取暖费、物业管理费、差旅费、工会经费、福利费、其他交通费用和其他商品和服务支出。</w:t>
      </w:r>
    </w:p>
    <w:p w14:paraId="01FC90D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228764D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0AA6194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5387A04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5D59C43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4B439C7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0.00万元，与上年相比无变化，主要原因是：我单位2024年度与2025年度均未安排财政拨款“三公”经费。其中：因公出国（境）费用支出0.00万元,占0.00%，与上年相比无变化，主要原因是：我单位2024年度与2025年度均未安排因公出国（境）费；公务用车购置及运行维护费支出0.00万元，占0.00%，与上年相比无变化，主要原因是：我单位2024年度与2025年度均未安排公务用车购置及运行维护费；公务接待费支出0.00万元，占0.00%，与上年相比无变化，主要原因是：我单位2024年度与2025年度均未安排公务接待费。</w:t>
      </w:r>
    </w:p>
    <w:p w14:paraId="24069FEF">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0B06DD0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因公出国（境）费用0.00万元，开支内容包括我单位</w:t>
      </w:r>
      <w:r>
        <w:rPr>
          <w:rFonts w:hint="eastAsia" w:ascii="仿宋_GB2312" w:eastAsia="仿宋_GB2312"/>
          <w:b w:val="0"/>
          <w:sz w:val="32"/>
          <w:szCs w:val="32"/>
          <w:lang w:val="en-US" w:eastAsia="zh-CN"/>
        </w:rPr>
        <w:t>无</w:t>
      </w:r>
      <w:r>
        <w:rPr>
          <w:rFonts w:ascii="仿宋_GB2312" w:eastAsia="仿宋_GB2312"/>
          <w:b w:val="0"/>
          <w:sz w:val="32"/>
          <w:szCs w:val="32"/>
        </w:rPr>
        <w:t>因公出国（境）费。单位全年安排的因公出国（境）团组0个，因公出国（境）0人次。</w:t>
      </w:r>
    </w:p>
    <w:p w14:paraId="3F80E78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公务用车购置及运行维护费0.00万元，其中：公务用车购置费0.00万元，公务用车运行维护费0.00万元。公务用车运行维护费开支内容包括我单位</w:t>
      </w:r>
      <w:r>
        <w:rPr>
          <w:rFonts w:hint="eastAsia" w:ascii="仿宋_GB2312" w:eastAsia="仿宋_GB2312"/>
          <w:b w:val="0"/>
          <w:sz w:val="32"/>
          <w:szCs w:val="32"/>
          <w:lang w:val="en-US" w:eastAsia="zh-CN"/>
        </w:rPr>
        <w:t>无</w:t>
      </w:r>
      <w:r>
        <w:rPr>
          <w:rFonts w:ascii="仿宋_GB2312" w:eastAsia="仿宋_GB2312"/>
          <w:b w:val="0"/>
          <w:sz w:val="32"/>
          <w:szCs w:val="32"/>
        </w:rPr>
        <w:t>公务用车运行维护费。公务用车购置数0辆，公务用车保有量0辆。国有资产占用情况中固定资产车辆4辆，与公务用车保有量差异原因是：本单位只有1辆车为业务用车正常运行，其余3辆已损毁无法正常使用未产生公务用车运行维护费。</w:t>
      </w:r>
    </w:p>
    <w:p w14:paraId="3D9AE37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w:t>
      </w:r>
      <w:r>
        <w:rPr>
          <w:rFonts w:hint="eastAsia" w:ascii="仿宋_GB2312" w:eastAsia="仿宋_GB2312"/>
          <w:b w:val="0"/>
          <w:sz w:val="32"/>
          <w:szCs w:val="32"/>
          <w:lang w:val="en-US" w:eastAsia="zh-CN"/>
        </w:rPr>
        <w:t>无</w:t>
      </w:r>
      <w:r>
        <w:rPr>
          <w:rFonts w:ascii="仿宋_GB2312" w:eastAsia="仿宋_GB2312"/>
          <w:b w:val="0"/>
          <w:sz w:val="32"/>
          <w:szCs w:val="32"/>
        </w:rPr>
        <w:t>公务接待费。单位全年安排的国内公务接待0批次，0人次。</w:t>
      </w:r>
    </w:p>
    <w:p w14:paraId="59A4968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rPr>
        <w:t>本单位无</w:t>
      </w:r>
      <w:r>
        <w:rPr>
          <w:rFonts w:ascii="仿宋_GB2312" w:eastAsia="仿宋_GB2312"/>
          <w:b w:val="0"/>
          <w:sz w:val="32"/>
          <w:szCs w:val="32"/>
        </w:rPr>
        <w:t>财政拨款“三公”经费支出。其中：因公出国（境）费用全年预算数0.00万元，决算数0.00万元，预决算差异率0.00%，主要原因是：</w:t>
      </w:r>
      <w:r>
        <w:rPr>
          <w:rFonts w:hint="eastAsia" w:ascii="仿宋_GB2312" w:eastAsia="仿宋_GB2312"/>
          <w:b w:val="0"/>
          <w:sz w:val="32"/>
          <w:szCs w:val="32"/>
        </w:rPr>
        <w:t>本单位无</w:t>
      </w:r>
      <w:r>
        <w:rPr>
          <w:rFonts w:ascii="仿宋_GB2312" w:eastAsia="仿宋_GB2312"/>
          <w:b w:val="0"/>
          <w:sz w:val="32"/>
          <w:szCs w:val="32"/>
        </w:rPr>
        <w:t>因公出国（境）费；公务用车购置费全年预算数0.00万元，决算数0.00万元，预决算差异率0.00%，主要原因是：</w:t>
      </w:r>
      <w:r>
        <w:rPr>
          <w:rFonts w:hint="eastAsia" w:ascii="仿宋_GB2312" w:eastAsia="仿宋_GB2312"/>
          <w:b w:val="0"/>
          <w:sz w:val="32"/>
          <w:szCs w:val="32"/>
        </w:rPr>
        <w:t>本单位无</w:t>
      </w:r>
      <w:r>
        <w:rPr>
          <w:rFonts w:ascii="仿宋_GB2312" w:eastAsia="仿宋_GB2312"/>
          <w:b w:val="0"/>
          <w:sz w:val="32"/>
          <w:szCs w:val="32"/>
        </w:rPr>
        <w:t>公务用车购置费；公务用车运行维护费全年预算数0.00万元，决算数0.00万元，预决算差异率0.00%，主要原因是：</w:t>
      </w:r>
      <w:r>
        <w:rPr>
          <w:rFonts w:hint="eastAsia" w:ascii="仿宋_GB2312" w:eastAsia="仿宋_GB2312"/>
          <w:b w:val="0"/>
          <w:sz w:val="32"/>
          <w:szCs w:val="32"/>
        </w:rPr>
        <w:t>本单位无</w:t>
      </w:r>
      <w:r>
        <w:rPr>
          <w:rFonts w:ascii="仿宋_GB2312" w:eastAsia="仿宋_GB2312"/>
          <w:b w:val="0"/>
          <w:sz w:val="32"/>
          <w:szCs w:val="32"/>
        </w:rPr>
        <w:t>公务用车运行维护费；公务接待费全年预算数0.00万元，决算数0.00万元，预决算差异率0.00%，主要原因是：</w:t>
      </w:r>
      <w:r>
        <w:rPr>
          <w:rFonts w:hint="eastAsia" w:ascii="仿宋_GB2312" w:eastAsia="仿宋_GB2312"/>
          <w:b w:val="0"/>
          <w:sz w:val="32"/>
          <w:szCs w:val="32"/>
        </w:rPr>
        <w:t>本单位无</w:t>
      </w:r>
      <w:r>
        <w:rPr>
          <w:rFonts w:ascii="仿宋_GB2312" w:eastAsia="仿宋_GB2312"/>
          <w:b w:val="0"/>
          <w:sz w:val="32"/>
          <w:szCs w:val="32"/>
        </w:rPr>
        <w:t>公务接待费。</w:t>
      </w:r>
    </w:p>
    <w:p w14:paraId="7259B81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744D0794">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6540354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2025年度新疆畜牧科学院草业研究所（事业单位）公用经费支出89.34万元，比上年减少0.32万元，下降0.36%，主要原因是：本年度退休高职称人员，工会经费、办公费等公用经费相应减少。</w:t>
      </w:r>
    </w:p>
    <w:p w14:paraId="39EF9356">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106FD80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2025年度政府采购支出总额22.61万元，其中：政府采购货物支出0.00万元、政府采购工程支出0.00万元、政府采购服务支出22.61万元。</w:t>
      </w:r>
    </w:p>
    <w:p w14:paraId="15338D7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授予中小企业合同金额22.61万元，占政府采购支出总额的100.00%，其中：授予小微企业合同金额22.61万元，占政府采购支出总额的100.00%。</w:t>
      </w:r>
    </w:p>
    <w:p w14:paraId="489838E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0B9544B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1,545.80平方米，价值420.71万元。车辆4辆，价值68.09万元，其中：副部（省）级及以上领导用车0辆、主要负责人用车0辆、机要通信用车0辆、应急保障用车0辆、执法执勤用车0辆、特种专业技术用车0辆、离退休干部服务用车0辆、其他用车4辆，其他用车主要是：为我单位业务用车，用于科研外出、单位间文件传送;单价100万元（含）以上设备（不含车辆）3台（套）。</w:t>
      </w:r>
    </w:p>
    <w:p w14:paraId="1CF9A65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6FF4EE0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2个，全年预算数328.73万元，全年执行数328.73万元。预算绩效管理取得的成效：一是为我国和我区从事草业科学、科研和生产单位提供了大量有价值的科技情报信息；二是对促进我国和我区畜牧业的科技进步和生产发展起到了积极作用。发现的问题及原因：一是要改进管理方式方法，提高资金使用效益；二是有的绩效评价指标设置不科学，需要改进。下一步改进措施：一是根据预测可能出现的各种情况，对下一年度绩效目标做出全面安排，绩效指标如确需调整的，及时向相关主管部门申报，对相关绩效指标进行调整；二是对合作方的支付能力进行深入的了解，对没有支付能力的单位避免合作。具体附项目支出绩效自评表。</w:t>
      </w:r>
    </w:p>
    <w:p w14:paraId="24649EBF">
      <w:pPr>
        <w:widowControl/>
        <w:spacing w:before="0" w:beforeLines="0" w:beforeAutospacing="0" w:after="0" w:afterLines="0" w:afterAutospacing="0" w:line="240" w:lineRule="auto"/>
        <w:ind w:firstLine="640" w:firstLineChars="200"/>
        <w:jc w:val="left"/>
        <w:rPr>
          <w:rFonts w:ascii="黑体" w:eastAsia="黑体"/>
          <w:sz w:val="32"/>
          <w:szCs w:val="32"/>
        </w:rPr>
      </w:pPr>
      <w:bookmarkStart w:id="0" w:name="_GoBack"/>
      <w:bookmarkEnd w:id="0"/>
      <w:r>
        <w:rPr>
          <w:rFonts w:ascii="黑体" w:eastAsia="黑体"/>
          <w:b w:val="0"/>
          <w:sz w:val="32"/>
          <w:szCs w:val="32"/>
        </w:rPr>
        <w:t>十二、其他需说明的事项</w:t>
      </w:r>
    </w:p>
    <w:p w14:paraId="40ED691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1F22A671">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694CBAA0">
      <w:pPr>
        <w:widowControl/>
      </w:pPr>
      <w:r>
        <w:rPr>
          <w:b w:val="0"/>
          <w:sz w:val="0"/>
          <w:szCs w:val="0"/>
        </w:rPr>
        <w:br w:type="page"/>
      </w:r>
    </w:p>
    <w:p w14:paraId="701DEC9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579C1A6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7E2D93E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43EA3F9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7BDD716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2E9583C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1CA8748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3349DAB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704D451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0F0BC0D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0CFA844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01C48CC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6507773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3F9D699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0B9F1AB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0B8F006B">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5AF1185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BE0B2B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68E2DF3A">
      <w:pPr>
        <w:widowControl/>
      </w:pPr>
      <w:r>
        <w:rPr>
          <w:b w:val="0"/>
          <w:sz w:val="0"/>
          <w:szCs w:val="0"/>
        </w:rPr>
        <w:br w:type="page"/>
      </w:r>
    </w:p>
    <w:p w14:paraId="0226B452">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6C62EFB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34325F0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5D66AFD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5710AFF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314FAB6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2E6C6E6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3F9C749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33FAAEA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490C4FB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B3643CE"/>
    <w:rsid w:val="184A42DA"/>
    <w:rsid w:val="185A5BA0"/>
    <w:rsid w:val="257A1159"/>
    <w:rsid w:val="31BB7257"/>
    <w:rsid w:val="38CC7F9C"/>
    <w:rsid w:val="48CD7AAD"/>
    <w:rsid w:val="58E928FC"/>
    <w:rsid w:val="5B7C71A8"/>
    <w:rsid w:val="6B0D1BCA"/>
    <w:rsid w:val="6CE325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5826</Words>
  <Characters>6478</Characters>
  <TotalTime>7</TotalTime>
  <ScaleCrop>false</ScaleCrop>
  <LinksUpToDate>false</LinksUpToDate>
  <CharactersWithSpaces>6486</CharactersWithSpaces>
  <Application>WPS Office_12.1.0.26885_F1E327BC-269C-435d-A152-05C5408002CA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2026-08-19T02:15:00Z</dcterms:created>
  <dc:creator>Administrator</dc:creator>
  <cp:lastModifiedBy>W.w</cp:lastModifiedBy>
  <dcterms:modified xsi:type="dcterms:W3CDTF">2026-08-26T14:51:22Z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eyJoZGlkIjoiYTZjZThjMDFjYjU0NDRjYWE1YjFlZmFjNmU0NDBiYTgiLCJ1c2VySWQiOiI0NjExNzA3OTgifQ==</vt:lpwstr>
  </property>
  <property fmtid="{D5CDD505-2E9C-101B-9397-08002B2CF9AE}" pid="3" name="KSOProductBuildVer">
    <vt:lpwstr>2052-12.1.0.26885</vt:lpwstr>
  </property>
  <property fmtid="{D5CDD505-2E9C-101B-9397-08002B2CF9AE}" pid="4" name="ICV">
    <vt:lpwstr>94230236EB5846C6B4E262A83CFD6E04_12</vt:lpwstr>
  </property>
</Properties>
</file>