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1A2D5">
      <w:pPr>
        <w:widowControl/>
        <w:spacing w:before="0" w:beforeLines="0" w:beforeAutospacing="0" w:after="0" w:afterLines="0" w:afterAutospacing="0" w:line="240" w:lineRule="auto"/>
        <w:jc w:val="left"/>
        <w:rPr>
          <w:rFonts w:ascii="宋体" w:eastAsia="宋体"/>
          <w:sz w:val="32"/>
          <w:szCs w:val="32"/>
        </w:rPr>
      </w:pPr>
    </w:p>
    <w:p w14:paraId="3C20299B">
      <w:pPr>
        <w:widowControl/>
        <w:spacing w:before="0" w:beforeLines="0" w:beforeAutospacing="0" w:after="0" w:afterLines="0" w:afterAutospacing="0" w:line="240" w:lineRule="auto"/>
        <w:jc w:val="left"/>
        <w:rPr>
          <w:rFonts w:ascii="宋体" w:eastAsia="宋体"/>
          <w:sz w:val="44"/>
          <w:szCs w:val="44"/>
        </w:rPr>
      </w:pPr>
    </w:p>
    <w:p w14:paraId="5708FC98">
      <w:pPr>
        <w:widowControl/>
        <w:spacing w:before="0" w:beforeLines="0" w:beforeAutospacing="0" w:after="0" w:afterLines="0" w:afterAutospacing="0" w:line="240" w:lineRule="auto"/>
        <w:jc w:val="left"/>
        <w:rPr>
          <w:rFonts w:ascii="宋体" w:eastAsia="宋体"/>
          <w:sz w:val="44"/>
          <w:szCs w:val="44"/>
        </w:rPr>
      </w:pPr>
    </w:p>
    <w:p w14:paraId="56462021">
      <w:pPr>
        <w:widowControl/>
        <w:spacing w:before="0" w:beforeLines="0" w:beforeAutospacing="0" w:after="0" w:afterLines="0" w:afterAutospacing="0" w:line="240" w:lineRule="auto"/>
        <w:jc w:val="left"/>
        <w:rPr>
          <w:rFonts w:ascii="宋体" w:eastAsia="宋体"/>
          <w:sz w:val="44"/>
          <w:szCs w:val="44"/>
        </w:rPr>
      </w:pPr>
    </w:p>
    <w:p w14:paraId="037CA989">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新疆畜牧科学院生物技术研究所（新疆畜牧科学院中国-澳大利亚绵羊育种研究中心）</w:t>
      </w:r>
    </w:p>
    <w:p w14:paraId="7FB1B9C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3CA3151">
      <w:pPr>
        <w:widowControl/>
      </w:pPr>
      <w:r>
        <w:rPr>
          <w:b w:val="0"/>
          <w:sz w:val="0"/>
          <w:szCs w:val="0"/>
        </w:rPr>
        <w:br w:type="page"/>
      </w:r>
    </w:p>
    <w:p w14:paraId="5E4B329A">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2ECA3F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0B1ABE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F53EEE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2B64CEB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01F7EB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12D28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50640E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E3956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50F80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791F7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54BED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DB8A2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2953B4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F6A48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3EE68F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80CE14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5FB6E5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19E62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6004E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D8CFE6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630280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68949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258D989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455FC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58080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D2392E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8D372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C49D7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7ED359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BEDF78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9FCA7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4F550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1C979D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0ADD5791">
      <w:pPr>
        <w:widowControl/>
      </w:pPr>
      <w:r>
        <w:rPr>
          <w:b w:val="0"/>
          <w:sz w:val="0"/>
          <w:szCs w:val="0"/>
        </w:rPr>
        <w:br w:type="page"/>
      </w:r>
    </w:p>
    <w:p w14:paraId="358725D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CF258C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85E06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科学院生物技术研究所以开展家畜遗传育种与繁殖领域，草食家畜胚胎发育与胚胎工程技术、遗传资源保护利用与分子育种、转基因新品种培育、分子遗传与功能基因组和应用生物技术研究方面的基础、应用基础和高新技术研究为主要方向，以承担国家和自治区各类科研项目为主要任务，通过理论创新、技术服务、咨询、培训等形式，为畜牧业科学研究和产业发展提供技术支撑和人才培训。</w:t>
      </w:r>
    </w:p>
    <w:p w14:paraId="70D9FBC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400510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新疆畜牧科学院生物技术研究所（新疆畜牧科学院中国-澳大利亚绵羊育种研究中心）无下属预算单位。</w:t>
      </w:r>
    </w:p>
    <w:p w14:paraId="1368635F">
      <w:pPr>
        <w:widowControl/>
      </w:pPr>
      <w:r>
        <w:rPr>
          <w:b w:val="0"/>
          <w:sz w:val="0"/>
          <w:szCs w:val="0"/>
        </w:rPr>
        <w:br w:type="page"/>
      </w:r>
    </w:p>
    <w:p w14:paraId="3E9C11D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54F7955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1F87B2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2025年度收入总计2,186.14万元，其中：本年收入合计1,769.23万元，使用非财政拨款结余（含专用结余）0.00万元，年初结转和结余416.91万元。</w:t>
      </w:r>
    </w:p>
    <w:p w14:paraId="23319F5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2025年度支出总计2,186.14万元，其中：本年支出合计1,887.11万元，结余分配0.00万元，年末结转和结余299.03万元。</w:t>
      </w:r>
    </w:p>
    <w:p w14:paraId="7588B9C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收入支出总体与上年相比，减少214.08万元，下降8.92%，主要原因是：</w:t>
      </w:r>
      <w:r>
        <w:rPr>
          <w:rFonts w:hint="eastAsia" w:ascii="仿宋_GB2312" w:eastAsia="仿宋_GB2312"/>
          <w:b w:val="0"/>
          <w:sz w:val="32"/>
          <w:szCs w:val="32"/>
        </w:rPr>
        <w:t>本年</w:t>
      </w:r>
      <w:r>
        <w:rPr>
          <w:rFonts w:hint="eastAsia" w:ascii="仿宋_GB2312" w:eastAsia="仿宋_GB2312"/>
          <w:b w:val="0"/>
          <w:sz w:val="32"/>
          <w:szCs w:val="32"/>
          <w:lang w:val="en-US" w:eastAsia="zh-CN"/>
        </w:rPr>
        <w:t>人才队伍建设</w:t>
      </w:r>
      <w:r>
        <w:rPr>
          <w:rFonts w:hint="eastAsia" w:ascii="仿宋_GB2312" w:eastAsia="仿宋_GB2312"/>
          <w:b w:val="0"/>
          <w:sz w:val="32"/>
          <w:szCs w:val="32"/>
        </w:rPr>
        <w:t>项目、</w:t>
      </w:r>
      <w:r>
        <w:rPr>
          <w:rFonts w:hint="eastAsia" w:ascii="仿宋_GB2312" w:eastAsia="仿宋_GB2312"/>
          <w:b w:val="0"/>
          <w:sz w:val="32"/>
          <w:szCs w:val="32"/>
          <w:lang w:val="en-US" w:eastAsia="zh-CN"/>
        </w:rPr>
        <w:t>其他科技条件与服务</w:t>
      </w:r>
      <w:r>
        <w:rPr>
          <w:rFonts w:hint="eastAsia" w:ascii="仿宋_GB2312" w:eastAsia="仿宋_GB2312"/>
          <w:b w:val="0"/>
          <w:sz w:val="32"/>
          <w:szCs w:val="32"/>
        </w:rPr>
        <w:t>项目较上年减少</w:t>
      </w:r>
      <w:r>
        <w:rPr>
          <w:rFonts w:ascii="仿宋_GB2312" w:eastAsia="仿宋_GB2312"/>
          <w:b w:val="0"/>
          <w:sz w:val="32"/>
          <w:szCs w:val="32"/>
        </w:rPr>
        <w:t>。</w:t>
      </w:r>
    </w:p>
    <w:p w14:paraId="6CA6E6F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743E60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1,769.23万元，其中：财政拨款收入1,220.43万元,占68.98%；上级补助收入0.00万元,占0.00%；事业收入42.43万元，占2.40%；经营收入0.00万元,占0.00%；附属单位上缴收入0.00万元，占0.00%；其他收入506.38万元，占28.62%。</w:t>
      </w:r>
    </w:p>
    <w:p w14:paraId="1A2DE48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BF84D4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本年支出1,887.11万元，其中：基本支出671.39万元，占35.58%；项目支出1,215.73万元，占64.42%；上缴上级支出0.00万元，占0.00%；经营支出0.00万元，占0.00%；对附属单位补助支出0.00万元，占0.00%。</w:t>
      </w:r>
    </w:p>
    <w:p w14:paraId="4794FD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05DC9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1,220.43万元，其中：年初财政拨款结转和结余0.00万元，本年财政拨款收入1,220.43万元。财政拨款支出总计1,220.43万元，其中：年末财政拨款结转和结余0.00万元，本年财政拨款支出1,220.43万元。</w:t>
      </w:r>
    </w:p>
    <w:p w14:paraId="45E502B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财政拨款收入支出总体与上年相比，减少129.39万元，下降9.59%，主要原因是：</w:t>
      </w:r>
      <w:bookmarkStart w:id="0" w:name="OLE_LINK1"/>
      <w:r>
        <w:rPr>
          <w:rFonts w:hint="eastAsia" w:ascii="仿宋_GB2312" w:eastAsia="仿宋_GB2312"/>
          <w:b w:val="0"/>
          <w:sz w:val="32"/>
          <w:szCs w:val="32"/>
        </w:rPr>
        <w:t>本年</w:t>
      </w:r>
      <w:r>
        <w:rPr>
          <w:rFonts w:hint="eastAsia" w:ascii="仿宋_GB2312" w:eastAsia="仿宋_GB2312"/>
          <w:b w:val="0"/>
          <w:sz w:val="32"/>
          <w:szCs w:val="32"/>
          <w:lang w:eastAsia="zh-CN"/>
        </w:rPr>
        <w:t>三区人才科技专项、特聘专家项目</w:t>
      </w:r>
      <w:r>
        <w:rPr>
          <w:rFonts w:hint="eastAsia" w:ascii="仿宋_GB2312" w:eastAsia="仿宋_GB2312"/>
          <w:b w:val="0"/>
          <w:sz w:val="32"/>
          <w:szCs w:val="32"/>
          <w:lang w:val="en-US" w:eastAsia="zh-CN"/>
        </w:rPr>
        <w:t>均由院机关统一核算，</w:t>
      </w:r>
      <w:r>
        <w:rPr>
          <w:rFonts w:hint="eastAsia" w:ascii="仿宋_GB2312" w:eastAsia="仿宋_GB2312"/>
          <w:b w:val="0"/>
          <w:sz w:val="32"/>
          <w:szCs w:val="32"/>
        </w:rPr>
        <w:t>较上年减少</w:t>
      </w:r>
      <w:bookmarkEnd w:id="0"/>
      <w:r>
        <w:rPr>
          <w:rFonts w:ascii="仿宋_GB2312" w:eastAsia="仿宋_GB2312"/>
          <w:b w:val="0"/>
          <w:sz w:val="32"/>
          <w:szCs w:val="32"/>
        </w:rPr>
        <w:t>。与年初预算相比，年初预算数747.22万元，决算数1,220.43万元，预决算差异率63.33%，主要原因是：</w:t>
      </w:r>
      <w:r>
        <w:rPr>
          <w:rFonts w:hint="eastAsia" w:ascii="仿宋_GB2312" w:eastAsia="仿宋_GB2312"/>
          <w:b w:val="0"/>
          <w:sz w:val="32"/>
          <w:szCs w:val="32"/>
        </w:rPr>
        <w:t>年中追加人员工资、社保、公积金基数调增部分资金及做实2025年职业年金，导致预决算存在差异；年中追加国库增加人才发展基金项目，导致预决算存在差异</w:t>
      </w:r>
      <w:r>
        <w:rPr>
          <w:rFonts w:ascii="仿宋_GB2312" w:eastAsia="仿宋_GB2312"/>
          <w:b w:val="0"/>
          <w:sz w:val="32"/>
          <w:szCs w:val="32"/>
        </w:rPr>
        <w:t>。</w:t>
      </w:r>
    </w:p>
    <w:p w14:paraId="2BD3A92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128B47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经费、履职运转、科研项目等重点支出，体现在有关支出科目中。</w:t>
      </w:r>
    </w:p>
    <w:p w14:paraId="6A3444B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671.39万元，占比55.01%，主要用于保障在职人员的工资、社保等经费支出以及保障单位水电、物业、采暖等其他运转类公用经费的支出</w:t>
      </w:r>
      <w:r>
        <w:rPr>
          <w:rFonts w:hint="eastAsia" w:ascii="仿宋_GB2312" w:eastAsia="仿宋_GB2312"/>
          <w:b w:val="0"/>
          <w:sz w:val="32"/>
          <w:szCs w:val="32"/>
          <w:lang w:eastAsia="zh-CN"/>
        </w:rPr>
        <w:t>。</w:t>
      </w:r>
    </w:p>
    <w:p w14:paraId="24F845E0">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7FC18815">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ascii="仿宋_GB2312" w:eastAsia="仿宋_GB2312"/>
          <w:b w:val="0"/>
          <w:sz w:val="32"/>
          <w:szCs w:val="32"/>
        </w:rPr>
        <w:t>2025年度一般公共预算财政拨款支出1,220.43万元，占本年支出合计的64.67%。与上年相比，减少129.39万元，下降9.59%，主要原因是：</w:t>
      </w:r>
      <w:r>
        <w:rPr>
          <w:rFonts w:hint="eastAsia" w:ascii="仿宋_GB2312" w:eastAsia="仿宋_GB2312"/>
          <w:b w:val="0"/>
          <w:sz w:val="32"/>
          <w:szCs w:val="32"/>
        </w:rPr>
        <w:t>本年三区人才科技专项、特聘专家项目均由院机关统一核算，较上年减少</w:t>
      </w:r>
      <w:r>
        <w:rPr>
          <w:rFonts w:ascii="仿宋_GB2312" w:eastAsia="仿宋_GB2312"/>
          <w:b w:val="0"/>
          <w:sz w:val="32"/>
          <w:szCs w:val="32"/>
        </w:rPr>
        <w:t>。与年初预算相比，年初预算数747.22万元，决算数1,220.43万元，预决算差异率63.33%，主要原因是：</w:t>
      </w:r>
      <w:r>
        <w:rPr>
          <w:rFonts w:hint="eastAsia" w:ascii="仿宋_GB2312" w:eastAsia="仿宋_GB2312"/>
          <w:b w:val="0"/>
          <w:sz w:val="32"/>
          <w:szCs w:val="32"/>
        </w:rPr>
        <w:t>年中追加人员工资、社保、公积金基数调增部分资金及做实2025年职业年金，导致预决算存在差异；年中追加国库增加人才发展基金项目，导致预决算存在差异。</w:t>
      </w:r>
    </w:p>
    <w:p w14:paraId="1084F8C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A50641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1.科学技术支出（类）1,065.43万元，占87.30%。</w:t>
      </w:r>
    </w:p>
    <w:p w14:paraId="50FE7BF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2.农林水支出（类）155.00万元，占12.70%。</w:t>
      </w:r>
    </w:p>
    <w:p w14:paraId="7B62676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77E0E8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1.科学技术支出（类）基础研究（款）科技人才队伍建设（项）：支出决算数为394.04万元，比上年决算减少22.98万元，下降5.51%，主要原因是：</w:t>
      </w:r>
      <w:r>
        <w:rPr>
          <w:rFonts w:hint="eastAsia" w:ascii="仿宋_GB2312" w:eastAsia="仿宋_GB2312"/>
          <w:b w:val="0"/>
          <w:sz w:val="32"/>
          <w:szCs w:val="32"/>
        </w:rPr>
        <w:t>本年天山英才培养计划</w:t>
      </w:r>
      <w:r>
        <w:rPr>
          <w:rFonts w:hint="eastAsia" w:ascii="仿宋_GB2312" w:eastAsia="仿宋_GB2312"/>
          <w:b w:val="0"/>
          <w:sz w:val="32"/>
          <w:szCs w:val="32"/>
          <w:lang w:eastAsia="zh-CN"/>
        </w:rPr>
        <w:t>、</w:t>
      </w:r>
      <w:r>
        <w:rPr>
          <w:rFonts w:hint="eastAsia" w:ascii="仿宋_GB2312" w:eastAsia="仿宋_GB2312"/>
          <w:b w:val="0"/>
          <w:sz w:val="32"/>
          <w:szCs w:val="32"/>
        </w:rPr>
        <w:t>科技创新团队项目较上年减少</w:t>
      </w:r>
      <w:r>
        <w:rPr>
          <w:rFonts w:ascii="仿宋_GB2312" w:eastAsia="仿宋_GB2312"/>
          <w:b w:val="0"/>
          <w:sz w:val="32"/>
          <w:szCs w:val="32"/>
        </w:rPr>
        <w:t>。</w:t>
      </w:r>
    </w:p>
    <w:p w14:paraId="52DC143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2.科学技术支出（类）应用研究（款）机构运行（项）：支出决算数为671.39万元，比上年决算增加11.83万元，增长1.79%，主要原因是：</w:t>
      </w:r>
      <w:r>
        <w:rPr>
          <w:rFonts w:hint="eastAsia" w:ascii="仿宋_GB2312" w:eastAsia="仿宋_GB2312"/>
          <w:b w:val="0"/>
          <w:sz w:val="32"/>
          <w:szCs w:val="32"/>
        </w:rPr>
        <w:t>本年在职人员工资调增，导致相关人员经费较上年有所增加</w:t>
      </w:r>
      <w:r>
        <w:rPr>
          <w:rFonts w:ascii="仿宋_GB2312" w:eastAsia="仿宋_GB2312"/>
          <w:b w:val="0"/>
          <w:sz w:val="32"/>
          <w:szCs w:val="32"/>
        </w:rPr>
        <w:t>。</w:t>
      </w:r>
    </w:p>
    <w:p w14:paraId="19A0C9D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3.科学技术支出（类）科技条件与服务（款）其他科技条件与服务支出（项）：支出决算数为0.00万元，比上年决算减少1.80万元，下降100.00%，主要原因是：</w:t>
      </w:r>
      <w:r>
        <w:rPr>
          <w:rFonts w:hint="eastAsia" w:ascii="仿宋_GB2312" w:eastAsia="仿宋_GB2312"/>
          <w:b w:val="0"/>
          <w:sz w:val="32"/>
          <w:szCs w:val="32"/>
        </w:rPr>
        <w:t>2025年度三区科技人才支持计划项目由院机关统一核算，导致本科目减少。</w:t>
      </w:r>
    </w:p>
    <w:p w14:paraId="1AA0774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科学技术支出（类）其他科学技术支出（款）其他科学技术支出（项）：支出决算数为0.00万元，比上年决算减少67.43万元，下降100.00%，主要原因是：2025年度无天山英才计划—三农骨干人才-农业技术推广人才、天山英才计划—科技创新领军人才、科研创新平台人才团队支持计划——已建成、产业技术创新团队支持计划——现代农业产业技术体系人才项目。</w:t>
      </w:r>
    </w:p>
    <w:p w14:paraId="311A1A0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人力资源和社会保障管理事务（款）其他人力资源和社会保障管理事务支出（项）：支出决算数为0.00万元，比上年决算减少45.00万元，下降100.00%，主要原因是：2025年度无天池英才-青年博士项目。</w:t>
      </w:r>
    </w:p>
    <w:p w14:paraId="365AFC8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6.农林水支出（类）农业农村（款）科技转化与推广服务（项）：支出决算数为85.00万元，比上年决算减少14.00万元，下降14.14%，主要原因是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本年度产业技术团队项目、天山英才培养计划三农骨干项目均为延续性项目，本年到位经费较上年减少</w:t>
      </w:r>
      <w:r>
        <w:rPr>
          <w:rFonts w:ascii="仿宋_GB2312" w:eastAsia="仿宋_GB2312"/>
          <w:b w:val="0"/>
          <w:sz w:val="32"/>
          <w:szCs w:val="32"/>
        </w:rPr>
        <w:t>。</w:t>
      </w:r>
    </w:p>
    <w:p w14:paraId="65CB18A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7.农林水支出（类）农业农村（款）农业生产发展（项）：支出决算数为70.00万元，比上年决算增加10.00万元，增长16.67%，主要原因是：2025年度现代畜禽种业提升项目经费</w:t>
      </w:r>
      <w:r>
        <w:rPr>
          <w:rFonts w:hint="eastAsia" w:ascii="仿宋_GB2312" w:eastAsia="仿宋_GB2312"/>
          <w:b w:val="0"/>
          <w:sz w:val="32"/>
          <w:szCs w:val="32"/>
          <w:lang w:val="en-US" w:eastAsia="zh-CN"/>
        </w:rPr>
        <w:t>增加</w:t>
      </w:r>
      <w:r>
        <w:rPr>
          <w:rFonts w:ascii="仿宋_GB2312" w:eastAsia="仿宋_GB2312"/>
          <w:b w:val="0"/>
          <w:sz w:val="32"/>
          <w:szCs w:val="32"/>
        </w:rPr>
        <w:t>。</w:t>
      </w:r>
    </w:p>
    <w:p w14:paraId="0FF37CE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8821B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671.39万元，其中：人员经费625.33万元，包括：基本工资、津贴补贴、奖金、绩效工资、机关事业单位基本养老保险缴费、职业年金缴费、职工基本医疗保险缴费、公务员医疗补助缴费、其他社会保障缴费、住房公积金和退休费。</w:t>
      </w:r>
    </w:p>
    <w:p w14:paraId="7BFF55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公用经费46.05万元，包括：办公费、邮电费、取暖费、物业管理费、差旅费、工会经费、福利费、其他交通费用和其他商品和服务支出。</w:t>
      </w:r>
    </w:p>
    <w:p w14:paraId="4A6CB4F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CBD37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CD8235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5BDF3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920656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31B82F2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w:t>
      </w:r>
      <w:r>
        <w:rPr>
          <w:rFonts w:hint="eastAsia" w:ascii="仿宋_GB2312" w:eastAsia="仿宋_GB2312"/>
          <w:b w:val="0"/>
          <w:sz w:val="32"/>
          <w:szCs w:val="32"/>
        </w:rPr>
        <w:t>2024年与2025年均无财政拨款“三公”经费支出</w:t>
      </w:r>
      <w:r>
        <w:rPr>
          <w:rFonts w:ascii="仿宋_GB2312" w:eastAsia="仿宋_GB2312"/>
          <w:b w:val="0"/>
          <w:sz w:val="32"/>
          <w:szCs w:val="32"/>
        </w:rPr>
        <w:t>。其中：因公出国（境）费用支出0.00万元,占0.00%，与上年相比无变化，主要原因是：</w:t>
      </w:r>
      <w:r>
        <w:rPr>
          <w:rFonts w:hint="eastAsia" w:ascii="仿宋_GB2312" w:eastAsia="仿宋_GB2312"/>
          <w:b w:val="0"/>
          <w:sz w:val="32"/>
          <w:szCs w:val="32"/>
        </w:rPr>
        <w:t>2024年与2025年均无财政拨款“三公”经费支出</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rPr>
        <w:t>2024年与2025年均无公务用车购置及运行维护费支出</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2024年与2025年均无公务接待费支出</w:t>
      </w:r>
      <w:r>
        <w:rPr>
          <w:rFonts w:ascii="仿宋_GB2312" w:eastAsia="仿宋_GB2312"/>
          <w:b w:val="0"/>
          <w:sz w:val="32"/>
          <w:szCs w:val="32"/>
        </w:rPr>
        <w:t>。</w:t>
      </w:r>
    </w:p>
    <w:p w14:paraId="26AE004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580ED46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本单位无因公出国（境）费用</w:t>
      </w:r>
      <w:r>
        <w:rPr>
          <w:rFonts w:ascii="仿宋_GB2312" w:eastAsia="仿宋_GB2312"/>
          <w:b w:val="0"/>
          <w:sz w:val="32"/>
          <w:szCs w:val="32"/>
        </w:rPr>
        <w:t>。单位全年安排的因公出国（境）团组0个，因公出国（境）0人次。</w:t>
      </w:r>
    </w:p>
    <w:p w14:paraId="082BD9B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rPr>
        <w:t>本单位无公务用车运行维护费</w:t>
      </w:r>
      <w:r>
        <w:rPr>
          <w:rFonts w:ascii="仿宋_GB2312" w:eastAsia="仿宋_GB2312"/>
          <w:b w:val="0"/>
          <w:sz w:val="32"/>
          <w:szCs w:val="32"/>
        </w:rPr>
        <w:t>。公务用车购置数0辆，公务用车保有量0辆。国有资产占用情况中固定资产车辆1辆，与公务用车保有量差异原因是：我单位车辆为业务用车，用于项目试验点业务及采样工作，车辆经费支出由自有资金项目列支。</w:t>
      </w:r>
    </w:p>
    <w:p w14:paraId="781FBD1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本单位无公务接待费</w:t>
      </w:r>
      <w:r>
        <w:rPr>
          <w:rFonts w:ascii="仿宋_GB2312" w:eastAsia="仿宋_GB2312"/>
          <w:b w:val="0"/>
          <w:sz w:val="32"/>
          <w:szCs w:val="32"/>
        </w:rPr>
        <w:t>。单位全年安排的国内公务接待0批次，0人次。</w:t>
      </w:r>
    </w:p>
    <w:p w14:paraId="375260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rPr>
        <w:t>本单位无公务接待费</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rPr>
        <w:t>本单位无因公出国（境）费用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本单位无公务用车购置费</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rPr>
        <w:t>本单位无公务用车运行维护费</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本单位无公务接待费</w:t>
      </w:r>
      <w:r>
        <w:rPr>
          <w:rFonts w:ascii="仿宋_GB2312" w:eastAsia="仿宋_GB2312"/>
          <w:b w:val="0"/>
          <w:sz w:val="32"/>
          <w:szCs w:val="32"/>
        </w:rPr>
        <w:t>。</w:t>
      </w:r>
    </w:p>
    <w:p w14:paraId="3105A0A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F0C239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797357B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2025年度新疆畜牧科学院生物技术研究所（新疆畜牧科学院中国-澳大利亚绵羊育种研究中心）（事业单位）公用经费支出46.05万元，比上年增加4.09万元，增长9.75%，主要原因是：</w:t>
      </w:r>
      <w:r>
        <w:rPr>
          <w:rFonts w:hint="eastAsia" w:ascii="仿宋_GB2312" w:eastAsia="仿宋_GB2312"/>
          <w:b w:val="0"/>
          <w:sz w:val="32"/>
          <w:szCs w:val="32"/>
        </w:rPr>
        <w:t>2025年度我单位人员职称正常晋升，办公费用增加，公用经费增加</w:t>
      </w:r>
      <w:bookmarkStart w:id="1" w:name="_GoBack"/>
      <w:bookmarkEnd w:id="1"/>
      <w:r>
        <w:rPr>
          <w:rFonts w:ascii="仿宋_GB2312" w:eastAsia="仿宋_GB2312"/>
          <w:b w:val="0"/>
          <w:sz w:val="32"/>
          <w:szCs w:val="32"/>
        </w:rPr>
        <w:t>。</w:t>
      </w:r>
    </w:p>
    <w:p w14:paraId="4EAC0B6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5CA301D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2025年度政府采购支出总额103.56万元，其中：政府采购货物支出84.92万元、政府采购工程支出0.00万元、政府采购服务支出18.64万元。</w:t>
      </w:r>
    </w:p>
    <w:p w14:paraId="3297E1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授予中小企业合同金额103.56万元，占政府采购支出总额的100.00%，其中：授予小微企业合同金额103.56万元，占政府采购支出总额的100.00%。</w:t>
      </w:r>
    </w:p>
    <w:p w14:paraId="2338147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0EFDA23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3,809.28平方米，价值250.74万元。车辆1辆，价值19.41万元，其中：副部（省）级及以上领导用车0辆、主要负责人用车0辆、机要通信用车0辆、应急保障用车0辆、执法执勤用车0辆、特种专业技术用车0辆、离退休干部服务用车0辆、其他用车1辆，其他用车主要是：单位业务部门用于科研外出的车辆;单价100万元（含）以上设备（不含车辆）3台（套）。</w:t>
      </w:r>
    </w:p>
    <w:p w14:paraId="2AF14E8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DEB38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568.00万元，全年执行数568.00万元。预算绩效管理取得的成效：一是认真贯彻落实自治区党委统筹推进畜牧科技技术和经济技术发展工作部署，保障相关项目顺利推进；二是改善科研条件，进一步为畜牧产业高质量发展提质增效。发现的问题及原因：一是预算绩效设置不够贴合实际，原因是在考虑项目预算绩效时忽略了资金到位的及时性；二是材料费、劳务费、差旅费、完成试验等成本完成率较低，原因是我单位承担的科研项目大部分为3-5年延续性项目，无法在一年内完成项目执行，因此实际完成金额与预算金额相差较大。下一步改进措施：一是进一步健全和完善财务管理制度及绩效评价管理办法，积极提升绩效管理水平；二是合理安排各项目预算资金支出，尽可能制定准确均衡的预算支出计划，以利于单位科研工作正常开展，保障重点项目顺利实施。具体附项目支出绩效自评表。</w:t>
      </w:r>
    </w:p>
    <w:p w14:paraId="501D955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33701D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2E5BB7FA">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676E477">
      <w:pPr>
        <w:widowControl/>
      </w:pPr>
      <w:r>
        <w:rPr>
          <w:b w:val="0"/>
          <w:sz w:val="0"/>
          <w:szCs w:val="0"/>
        </w:rPr>
        <w:br w:type="page"/>
      </w:r>
    </w:p>
    <w:p w14:paraId="13EEB71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765542B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2A09177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0717808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C0B192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61C388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3555795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F46B09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527075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7BBDCE5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14C3125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882180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5909874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797C6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1BD1B37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0F098E6E">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7E1B02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EB13B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717670E">
      <w:pPr>
        <w:widowControl/>
      </w:pPr>
      <w:r>
        <w:rPr>
          <w:b w:val="0"/>
          <w:sz w:val="0"/>
          <w:szCs w:val="0"/>
        </w:rPr>
        <w:br w:type="page"/>
      </w:r>
    </w:p>
    <w:p w14:paraId="421B61F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7F29777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C6A7EC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889BCE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7ED7CA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08C6A7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0B202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29219D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C693F3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AA70C9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232F2421"/>
    <w:rsid w:val="6CC6629A"/>
    <w:rsid w:val="70EF3D36"/>
    <w:rsid w:val="76EA1A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unhideWhenUsed/>
    <w:qFormat/>
    <w:uiPriority w:val="35"/>
    <w:pPr>
      <w:spacing w:line="240" w:lineRule="auto"/>
    </w:pPr>
    <w:rPr>
      <w:b/>
      <w:bCs/>
      <w:color w:val="4F81BD" w:themeColor="accent1"/>
      <w:sz w:val="18"/>
      <w:szCs w:val="18"/>
    </w:rPr>
  </w:style>
  <w:style w:type="paragraph" w:styleId="8">
    <w:name w:val="annotation text"/>
    <w:basedOn w:val="1"/>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5777</Words>
  <Characters>6438</Characters>
  <TotalTime>5</TotalTime>
  <ScaleCrop>false</ScaleCrop>
  <LinksUpToDate>false</LinksUpToDate>
  <CharactersWithSpaces>6446</CharactersWithSpaces>
  <Application>WPS Office_12.1.0.26885_F1E327BC-269C-435d-A152-05C5408002CA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2026-08-23T15:16:00Z</dcterms:created>
  <dc:creator>ldan</dc:creator>
  <cp:lastModifiedBy>W.w</cp:lastModifiedBy>
  <dcterms:modified xsi:type="dcterms:W3CDTF">2026-08-26T15:03:46Z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56929A66C0F4419D9AD5693D120E7A62_12</vt:lpwstr>
  </property>
  <property fmtid="{D5CDD505-2E9C-101B-9397-08002B2CF9AE}" pid="4" name="KSOTemplateDocerSaveRecord">
    <vt:lpwstr>eyJoZGlkIjoiYTZjZThjMDFjYjU0NDRjYWE1YjFlZmFjNmU0NDBiYTgiLCJ1c2VySWQiOiI0NjExNzA3OTgifQ==</vt:lpwstr>
  </property>
</Properties>
</file>