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FCC21">
      <w:pPr>
        <w:widowControl/>
        <w:spacing w:before="0" w:beforeLines="0" w:beforeAutospacing="0" w:after="0" w:afterLines="0" w:afterAutospacing="0" w:line="240" w:lineRule="auto"/>
        <w:jc w:val="left"/>
        <w:rPr>
          <w:rFonts w:ascii="宋体" w:eastAsia="宋体"/>
          <w:sz w:val="32"/>
          <w:szCs w:val="32"/>
        </w:rPr>
      </w:pPr>
    </w:p>
    <w:p w14:paraId="2360AA68">
      <w:pPr>
        <w:widowControl/>
        <w:spacing w:before="0" w:beforeLines="0" w:beforeAutospacing="0" w:after="0" w:afterLines="0" w:afterAutospacing="0" w:line="240" w:lineRule="auto"/>
        <w:jc w:val="left"/>
        <w:rPr>
          <w:rFonts w:ascii="宋体" w:eastAsia="宋体"/>
          <w:sz w:val="44"/>
          <w:szCs w:val="44"/>
        </w:rPr>
      </w:pPr>
    </w:p>
    <w:p w14:paraId="2AAD71A7">
      <w:pPr>
        <w:widowControl/>
        <w:spacing w:before="0" w:beforeLines="0" w:beforeAutospacing="0" w:after="0" w:afterLines="0" w:afterAutospacing="0" w:line="240" w:lineRule="auto"/>
        <w:jc w:val="left"/>
        <w:rPr>
          <w:rFonts w:ascii="宋体" w:eastAsia="宋体"/>
          <w:sz w:val="44"/>
          <w:szCs w:val="44"/>
        </w:rPr>
      </w:pPr>
    </w:p>
    <w:p w14:paraId="14B21E36">
      <w:pPr>
        <w:widowControl/>
        <w:spacing w:before="0" w:beforeLines="0" w:beforeAutospacing="0" w:after="0" w:afterLines="0" w:afterAutospacing="0" w:line="240" w:lineRule="auto"/>
        <w:jc w:val="left"/>
        <w:rPr>
          <w:rFonts w:ascii="宋体" w:eastAsia="宋体"/>
          <w:sz w:val="44"/>
          <w:szCs w:val="44"/>
        </w:rPr>
      </w:pPr>
    </w:p>
    <w:p w14:paraId="5207D714">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新疆畜牧科学院畜牧业经济与信息研究所（新疆维吾尔自治区畜牧科技宣传教育中心）</w:t>
      </w:r>
    </w:p>
    <w:p w14:paraId="194C2DD8">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0421A4F5">
      <w:pPr>
        <w:widowControl/>
      </w:pPr>
      <w:r>
        <w:rPr>
          <w:b w:val="0"/>
          <w:sz w:val="0"/>
          <w:szCs w:val="0"/>
        </w:rPr>
        <w:br w:type="page"/>
      </w:r>
    </w:p>
    <w:p w14:paraId="60A1FCB7">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0BF205D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lang w:val="en-US" w:eastAsia="zh-CN"/>
        </w:rPr>
        <w:t xml:space="preserve"> </w:t>
      </w:r>
      <w:r>
        <w:rPr>
          <w:rFonts w:ascii="仿宋_GB2312" w:eastAsia="仿宋_GB2312"/>
          <w:b/>
          <w:sz w:val="32"/>
          <w:szCs w:val="32"/>
        </w:rPr>
        <w:t>单位概况</w:t>
      </w:r>
    </w:p>
    <w:p w14:paraId="69AC9DD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14F324A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4AC8A16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771A2F4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0646107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177B8FE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6D98418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12947A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59D61A6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08E3F5F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0EB1AB1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7268A3D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23A9EC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40B8561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06BC578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109D921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5585144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1BE0949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5B2CA54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67B6BE7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6C60A72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72CCE80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62D7BB4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552200D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1368004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060012F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4B5569E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6A74DE6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43C8333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3816E55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04B35AB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20F0E6C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3BD79E30">
      <w:pPr>
        <w:widowControl/>
      </w:pPr>
      <w:r>
        <w:rPr>
          <w:b w:val="0"/>
          <w:sz w:val="0"/>
          <w:szCs w:val="0"/>
        </w:rPr>
        <w:br w:type="page"/>
      </w:r>
    </w:p>
    <w:p w14:paraId="3CEE6E7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14:paraId="0C848C3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3591ED1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畜牧科学院畜牧业经济与信息研究所主要工作宗旨是：承担畜牧业政策、经济及产业技术经济、畜牧业科技信息研究；提供畜牧业科技咨询服务工作；承办《草食家畜》期刊（汉、维、哈三种文字）；开展畜牧业科技宣传、教育、培训工作；负责畜牧科学院科技信息化工作。</w:t>
      </w:r>
    </w:p>
    <w:p w14:paraId="3260E3F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39D93A8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新疆畜牧科学院畜牧业经济与信息研究所（新疆维吾尔自治区畜牧科技宣传教育中心）无下属预算单位。</w:t>
      </w:r>
    </w:p>
    <w:p w14:paraId="759A7412">
      <w:pPr>
        <w:widowControl/>
      </w:pPr>
      <w:r>
        <w:rPr>
          <w:b w:val="0"/>
          <w:sz w:val="0"/>
          <w:szCs w:val="0"/>
        </w:rPr>
        <w:br w:type="page"/>
      </w:r>
    </w:p>
    <w:p w14:paraId="14201921">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2DA153C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4EDF476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2025年度收入总计1,359.19万元，其中：本年收入合计1,271.74万元，使用非财政拨款结余（含专用结余）0.00万元，年初结转和结余87.46万元。</w:t>
      </w:r>
    </w:p>
    <w:p w14:paraId="1F2DF82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2025年度支出总计1,359.19万元，其中：本年支出合计1,293.35万元，结余分配32.79万元，年末结转和结余33.06万元。</w:t>
      </w:r>
    </w:p>
    <w:p w14:paraId="3B89EB2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收入支出总体与上年相比，增加84.57万元，增长6.63%，主要原因是：本年在职人员工资调增，社保、公积金基数调增，人员经费增加</w:t>
      </w:r>
      <w:r>
        <w:rPr>
          <w:rFonts w:hint="eastAsia" w:ascii="仿宋_GB2312" w:eastAsia="仿宋_GB2312"/>
          <w:b w:val="0"/>
          <w:sz w:val="32"/>
          <w:szCs w:val="32"/>
          <w:lang w:eastAsia="zh-CN"/>
        </w:rPr>
        <w:t>；</w:t>
      </w:r>
      <w:r>
        <w:rPr>
          <w:rFonts w:ascii="仿宋_GB2312" w:eastAsia="仿宋_GB2312"/>
          <w:b w:val="0"/>
          <w:sz w:val="32"/>
          <w:szCs w:val="32"/>
        </w:rPr>
        <w:t>本年增加智力援疆创新拓展计划项目、现代畜禽种业提升项目。</w:t>
      </w:r>
    </w:p>
    <w:p w14:paraId="11C4D28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4DB7F12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1,271.74万元，其中：财政拨款收入1,106.13万元,占86.98%；上级补助收入0.00万元,占0.00%；事业收入159.20万元，占12.52%；经营收入0.00万元,占0.00%；附属单位上缴收入0.00万元，占0.00%；其他收入6.41万元，占0.50%。</w:t>
      </w:r>
    </w:p>
    <w:p w14:paraId="4256124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119BEBF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本年支出1,293.35万元，其中：基本支出1,016.13万元，占78.57%；项目支出277.22万元，占21.43%；上缴上级支出0.00万元，占0.00%；经营支出0.00万元，占0.00%；对附属单位补助支出0.00万元，占0.00%。</w:t>
      </w:r>
    </w:p>
    <w:p w14:paraId="7F3722D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6B56867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1,106.13万元，其中：年初财政拨款结转和结余0.00万元，本年财政拨款收入1,106.13万元。财政拨款支出总计1,106.13万元，其中：年末财政拨款结转和结余0.00万元，本年财政拨款支出1,106.13万元。</w:t>
      </w:r>
    </w:p>
    <w:p w14:paraId="3669A1C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财政拨款收入支出总体与上年相比，增加91.59万元，增长9.03%，主要原因是：本年在职人员工资调增，社保、公积金基数调增，人员经费增加</w:t>
      </w:r>
      <w:r>
        <w:rPr>
          <w:rFonts w:hint="eastAsia" w:ascii="仿宋_GB2312" w:eastAsia="仿宋_GB2312"/>
          <w:b w:val="0"/>
          <w:sz w:val="32"/>
          <w:szCs w:val="32"/>
          <w:lang w:eastAsia="zh-CN"/>
        </w:rPr>
        <w:t>；</w:t>
      </w:r>
      <w:r>
        <w:rPr>
          <w:rFonts w:ascii="仿宋_GB2312" w:eastAsia="仿宋_GB2312"/>
          <w:b w:val="0"/>
          <w:sz w:val="32"/>
          <w:szCs w:val="32"/>
        </w:rPr>
        <w:t>本年增加智力援疆创新拓展计划项目、现代畜禽种业提升项目。与年初预算相比，年初预算数879.18万元，决算数1,106.13万元，预决算差异率25.81%，主要原因是：年中追加人员工资、社保、公积金基数调增部分资</w:t>
      </w:r>
      <w:r>
        <w:rPr>
          <w:rFonts w:hint="eastAsia" w:ascii="仿宋_GB2312" w:eastAsia="仿宋_GB2312"/>
          <w:b w:val="0"/>
          <w:sz w:val="32"/>
          <w:szCs w:val="32"/>
        </w:rPr>
        <w:t>金及</w:t>
      </w:r>
      <w:r>
        <w:rPr>
          <w:rFonts w:hint="eastAsia" w:ascii="仿宋_GB2312" w:eastAsia="仿宋_GB2312"/>
          <w:b w:val="0"/>
          <w:sz w:val="32"/>
          <w:szCs w:val="32"/>
          <w:lang w:val="en-US" w:eastAsia="zh-CN"/>
        </w:rPr>
        <w:t>纪</w:t>
      </w:r>
      <w:r>
        <w:rPr>
          <w:rFonts w:hint="eastAsia" w:ascii="仿宋_GB2312" w:eastAsia="仿宋_GB2312"/>
          <w:b w:val="0"/>
          <w:sz w:val="32"/>
          <w:szCs w:val="32"/>
        </w:rPr>
        <w:t>实2025年职业年金</w:t>
      </w:r>
      <w:r>
        <w:rPr>
          <w:rFonts w:ascii="仿宋_GB2312" w:eastAsia="仿宋_GB2312"/>
          <w:b w:val="0"/>
          <w:sz w:val="32"/>
          <w:szCs w:val="32"/>
        </w:rPr>
        <w:t>，导致预决算存在差异</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年中追加</w:t>
      </w:r>
      <w:r>
        <w:rPr>
          <w:rFonts w:ascii="仿宋_GB2312" w:eastAsia="仿宋_GB2312"/>
          <w:b w:val="0"/>
          <w:sz w:val="32"/>
          <w:szCs w:val="32"/>
        </w:rPr>
        <w:t>智力援疆创新拓展计划项目</w:t>
      </w:r>
      <w:r>
        <w:rPr>
          <w:rFonts w:hint="eastAsia" w:ascii="仿宋_GB2312" w:eastAsia="仿宋_GB2312"/>
          <w:b w:val="0"/>
          <w:sz w:val="32"/>
          <w:szCs w:val="32"/>
          <w:lang w:eastAsia="zh-CN"/>
        </w:rPr>
        <w:t>，</w:t>
      </w:r>
      <w:r>
        <w:rPr>
          <w:rFonts w:ascii="仿宋_GB2312" w:eastAsia="仿宋_GB2312"/>
          <w:b w:val="0"/>
          <w:sz w:val="32"/>
          <w:szCs w:val="32"/>
        </w:rPr>
        <w:t>导致预决算存在差异。</w:t>
      </w:r>
    </w:p>
    <w:p w14:paraId="2E41038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5B717C5E">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lang w:val="en-US" w:eastAsia="zh-CN"/>
        </w:rPr>
        <w:t>机构运行</w:t>
      </w:r>
      <w:r>
        <w:rPr>
          <w:rFonts w:ascii="仿宋_GB2312" w:eastAsia="仿宋_GB2312"/>
          <w:b w:val="0"/>
          <w:sz w:val="32"/>
          <w:szCs w:val="32"/>
        </w:rPr>
        <w:t>、</w:t>
      </w:r>
      <w:r>
        <w:rPr>
          <w:rFonts w:hint="eastAsia" w:ascii="仿宋_GB2312" w:eastAsia="仿宋_GB2312"/>
          <w:b w:val="0"/>
          <w:sz w:val="32"/>
          <w:szCs w:val="32"/>
          <w:lang w:val="en-US" w:eastAsia="zh-CN"/>
        </w:rPr>
        <w:t>民生</w:t>
      </w:r>
      <w:r>
        <w:rPr>
          <w:rFonts w:ascii="仿宋_GB2312" w:eastAsia="仿宋_GB2312"/>
          <w:b w:val="0"/>
          <w:sz w:val="32"/>
          <w:szCs w:val="32"/>
        </w:rPr>
        <w:t>保障、</w:t>
      </w:r>
      <w:r>
        <w:rPr>
          <w:rFonts w:hint="eastAsia" w:ascii="仿宋_GB2312" w:eastAsia="仿宋_GB2312"/>
          <w:b w:val="0"/>
          <w:sz w:val="32"/>
          <w:szCs w:val="32"/>
          <w:lang w:val="en-US" w:eastAsia="zh-CN"/>
        </w:rPr>
        <w:t>事业发展</w:t>
      </w:r>
      <w:r>
        <w:rPr>
          <w:rFonts w:ascii="仿宋_GB2312" w:eastAsia="仿宋_GB2312"/>
          <w:b w:val="0"/>
          <w:sz w:val="32"/>
          <w:szCs w:val="32"/>
        </w:rPr>
        <w:t>等重点支出，体现在有关支出科目中。</w:t>
      </w:r>
    </w:p>
    <w:p w14:paraId="3D529A50">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按照支出功能分类，科学技术支出（类）应用研究（款）机构运行（项）的支出占本年财政拨款支出总额的比重最高，2025年度决算数为1,016.13万元，占比91.86%，主要用于</w:t>
      </w:r>
      <w:r>
        <w:rPr>
          <w:rFonts w:hint="eastAsia" w:ascii="仿宋_GB2312" w:eastAsia="仿宋_GB2312"/>
          <w:b w:val="0"/>
          <w:sz w:val="32"/>
          <w:szCs w:val="32"/>
          <w:lang w:val="en-US" w:eastAsia="zh-CN"/>
        </w:rPr>
        <w:t>人员工资福利、日常公用经费</w:t>
      </w:r>
      <w:r>
        <w:rPr>
          <w:rFonts w:ascii="仿宋_GB2312" w:eastAsia="仿宋_GB2312"/>
          <w:b w:val="0"/>
          <w:sz w:val="32"/>
          <w:szCs w:val="32"/>
        </w:rPr>
        <w:t>。</w:t>
      </w:r>
    </w:p>
    <w:p w14:paraId="49BC5E7D">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5CCEBD8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2025年度一般公共预算财政拨款支出1,106.13万元，占本年支出合计的85.52%。与上年相比，增加91.59万元，增长9.03%，主要原因是：本年在职人员工资调增，社保、公积金基数调增，人员经费增加</w:t>
      </w:r>
      <w:r>
        <w:rPr>
          <w:rFonts w:hint="eastAsia" w:ascii="仿宋_GB2312" w:eastAsia="仿宋_GB2312"/>
          <w:b w:val="0"/>
          <w:sz w:val="32"/>
          <w:szCs w:val="32"/>
          <w:lang w:eastAsia="zh-CN"/>
        </w:rPr>
        <w:t>；</w:t>
      </w:r>
      <w:r>
        <w:rPr>
          <w:rFonts w:ascii="仿宋_GB2312" w:eastAsia="仿宋_GB2312"/>
          <w:b w:val="0"/>
          <w:sz w:val="32"/>
          <w:szCs w:val="32"/>
        </w:rPr>
        <w:t>本年增加智力援疆创新拓展计划项目、现代畜禽种业提升项目。与年初预算相比，年初预算数879.18万元，决算数1,106.13万元，预决算差异率25.81%，主要原因是：年中追加人员工资、社保、公积金基数调增部分资金</w:t>
      </w:r>
      <w:r>
        <w:rPr>
          <w:rFonts w:hint="eastAsia" w:ascii="仿宋_GB2312" w:eastAsia="仿宋_GB2312"/>
          <w:b w:val="0"/>
          <w:sz w:val="32"/>
          <w:szCs w:val="32"/>
        </w:rPr>
        <w:t>及做实2025年职业年金</w:t>
      </w:r>
      <w:r>
        <w:rPr>
          <w:rFonts w:ascii="仿宋_GB2312" w:eastAsia="仿宋_GB2312"/>
          <w:b w:val="0"/>
          <w:sz w:val="32"/>
          <w:szCs w:val="32"/>
        </w:rPr>
        <w:t>，导致预决算存在差异</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年中追加</w:t>
      </w:r>
      <w:r>
        <w:rPr>
          <w:rFonts w:ascii="仿宋_GB2312" w:eastAsia="仿宋_GB2312"/>
          <w:b w:val="0"/>
          <w:sz w:val="32"/>
          <w:szCs w:val="32"/>
        </w:rPr>
        <w:t>智力援疆创新拓展计划项目</w:t>
      </w:r>
      <w:r>
        <w:rPr>
          <w:rFonts w:hint="eastAsia" w:ascii="仿宋_GB2312" w:eastAsia="仿宋_GB2312"/>
          <w:b w:val="0"/>
          <w:sz w:val="32"/>
          <w:szCs w:val="32"/>
          <w:lang w:eastAsia="zh-CN"/>
        </w:rPr>
        <w:t>，</w:t>
      </w:r>
      <w:r>
        <w:rPr>
          <w:rFonts w:ascii="仿宋_GB2312" w:eastAsia="仿宋_GB2312"/>
          <w:b w:val="0"/>
          <w:sz w:val="32"/>
          <w:szCs w:val="32"/>
        </w:rPr>
        <w:t>导致预决算存在差异。</w:t>
      </w:r>
    </w:p>
    <w:p w14:paraId="2EAE3E07">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0B19D78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1.科学技术支出（类）1,016.13万元，占91.86%。</w:t>
      </w:r>
    </w:p>
    <w:p w14:paraId="15D6686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2.农林水支出（类）90.00万元，占8.14%。</w:t>
      </w:r>
    </w:p>
    <w:p w14:paraId="078127C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20A26CC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1.科学技术支出（类）应用研究（款）机构运行（项）：支出决算数为1,016.13万元，比上年决算增加33.39万元，增长3.40%，主要原因是：</w:t>
      </w:r>
      <w:r>
        <w:rPr>
          <w:rFonts w:hint="eastAsia" w:ascii="仿宋_GB2312" w:eastAsia="仿宋_GB2312"/>
          <w:b w:val="0"/>
          <w:sz w:val="32"/>
          <w:szCs w:val="32"/>
          <w:lang w:val="en-US" w:eastAsia="zh-CN"/>
        </w:rPr>
        <w:t>本年在职人员工资调增，社保、公积金基数调增，人员经费增加</w:t>
      </w:r>
      <w:r>
        <w:rPr>
          <w:rFonts w:ascii="仿宋_GB2312" w:eastAsia="仿宋_GB2312"/>
          <w:b w:val="0"/>
          <w:sz w:val="32"/>
          <w:szCs w:val="32"/>
        </w:rPr>
        <w:t>。</w:t>
      </w:r>
    </w:p>
    <w:p w14:paraId="227224D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2.科学技术支出（类）科技条件与服务（款）其他科技条件与服务支出（项）：支出决算数为0.00万元，比上年决算减少1.80万元，下降100.00%，主要原因是：本年度无自治区“三区”科技人员专项计划项目经费。</w:t>
      </w:r>
    </w:p>
    <w:p w14:paraId="75A55D74">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3.农林水支出（类）农业农村（款）科技转化与推广服务（项）：支出决算数为75.00万元，比上年决算增加55.00万元，增长275.00%，主要原因是：本年度增加智力援疆创新拓展计划项目经费。</w:t>
      </w:r>
    </w:p>
    <w:p w14:paraId="7BE6A430">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4.农林水支出（类）农业农村（款）农业生产发展（项）：支出决算数为15.00万元，比上年决算增加5.00万元，增长50.00%，主要原因是：本年度增加现代畜禽种业提升项目经费。</w:t>
      </w:r>
    </w:p>
    <w:p w14:paraId="43E7A1B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57D2191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1,016.13万元，其中：人员经费951.04万元，包括：基本工资、津贴补贴、奖金、绩效工资、机关事业单位基本养老保险缴费、职业年金缴费、职工基本医疗保险缴费、公务员医疗补助缴费、其他社会保障缴费、住房公积金、退休费、奖励金和其他对个人和家庭的补助。</w:t>
      </w:r>
    </w:p>
    <w:p w14:paraId="7E65923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公用经费65.09万元，包括：办公费、电费、邮电费、取暖费、物业管理费、差旅费、工会经费、福利费、其他交通费用和其他商品和服务支出。</w:t>
      </w:r>
    </w:p>
    <w:p w14:paraId="4AF1C4C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2DBBFD3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48F1B77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603DEE6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337FA08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176EC29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2025年度财政拨款“三公”经费支出0.00万元，与上年相比无变化，主要原因是：我单位2024年度</w:t>
      </w:r>
      <w:r>
        <w:rPr>
          <w:rFonts w:hint="eastAsia" w:ascii="仿宋_GB2312" w:eastAsia="仿宋_GB2312"/>
          <w:b w:val="0"/>
          <w:sz w:val="32"/>
          <w:szCs w:val="32"/>
          <w:lang w:val="en-US" w:eastAsia="zh-CN"/>
        </w:rPr>
        <w:t>与</w:t>
      </w:r>
      <w:r>
        <w:rPr>
          <w:rFonts w:ascii="仿宋_GB2312" w:eastAsia="仿宋_GB2312"/>
          <w:b w:val="0"/>
          <w:sz w:val="32"/>
          <w:szCs w:val="32"/>
        </w:rPr>
        <w:t>2025年度均</w:t>
      </w:r>
      <w:r>
        <w:rPr>
          <w:rFonts w:hint="eastAsia" w:ascii="仿宋_GB2312" w:eastAsia="仿宋_GB2312"/>
          <w:b w:val="0"/>
          <w:sz w:val="32"/>
          <w:szCs w:val="32"/>
          <w:lang w:val="en-US" w:eastAsia="zh-CN"/>
        </w:rPr>
        <w:t>无财政拨款</w:t>
      </w:r>
      <w:r>
        <w:rPr>
          <w:rFonts w:ascii="仿宋_GB2312" w:eastAsia="仿宋_GB2312"/>
          <w:b w:val="0"/>
          <w:sz w:val="32"/>
          <w:szCs w:val="32"/>
        </w:rPr>
        <w:t>“三公”经费</w:t>
      </w:r>
      <w:r>
        <w:rPr>
          <w:rFonts w:hint="eastAsia" w:ascii="仿宋_GB2312" w:eastAsia="仿宋_GB2312"/>
          <w:b w:val="0"/>
          <w:sz w:val="32"/>
          <w:szCs w:val="32"/>
          <w:lang w:val="en-US" w:eastAsia="zh-CN"/>
        </w:rPr>
        <w:t>支出</w:t>
      </w:r>
      <w:r>
        <w:rPr>
          <w:rFonts w:ascii="仿宋_GB2312" w:eastAsia="仿宋_GB2312"/>
          <w:b w:val="0"/>
          <w:sz w:val="32"/>
          <w:szCs w:val="32"/>
        </w:rPr>
        <w:t>。其中：因公出国（境）费用支出0.00万元,占0.00%，与上年相比无变化，主要原因是：我单位2024年度和2025年度均未安排因公出国（境）费；公务用车购置及运行维护费支出0.00万元，占0.00%，与上年相比无变化，主要原因是：我单位2024年度和2025年度均未安排公务用车购置及运行维护费；公务接待费支出0.00万元，占0.00%，与上年相比无变化，主要原因是：我单位2024年度和2025年度均未安排公务接待费。</w:t>
      </w:r>
    </w:p>
    <w:p w14:paraId="5085C3D6">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39362D1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val="en-US" w:eastAsia="zh-CN"/>
        </w:rPr>
        <w:t>本</w:t>
      </w:r>
      <w:r>
        <w:rPr>
          <w:rFonts w:ascii="仿宋_GB2312" w:eastAsia="仿宋_GB2312"/>
          <w:b w:val="0"/>
          <w:sz w:val="32"/>
          <w:szCs w:val="32"/>
        </w:rPr>
        <w:t>单位</w:t>
      </w:r>
      <w:r>
        <w:rPr>
          <w:rFonts w:hint="eastAsia" w:ascii="仿宋_GB2312" w:eastAsia="仿宋_GB2312"/>
          <w:b w:val="0"/>
          <w:sz w:val="32"/>
          <w:szCs w:val="32"/>
          <w:lang w:val="en-US" w:eastAsia="zh-CN"/>
        </w:rPr>
        <w:t>无</w:t>
      </w:r>
      <w:r>
        <w:rPr>
          <w:rFonts w:ascii="仿宋_GB2312" w:eastAsia="仿宋_GB2312"/>
          <w:b w:val="0"/>
          <w:sz w:val="32"/>
          <w:szCs w:val="32"/>
        </w:rPr>
        <w:t>因公出国（境）费</w:t>
      </w:r>
      <w:r>
        <w:rPr>
          <w:rFonts w:hint="eastAsia" w:ascii="仿宋_GB2312" w:eastAsia="仿宋_GB2312"/>
          <w:b w:val="0"/>
          <w:sz w:val="32"/>
          <w:szCs w:val="32"/>
          <w:lang w:val="en-US" w:eastAsia="zh-CN"/>
        </w:rPr>
        <w:t>用</w:t>
      </w:r>
      <w:r>
        <w:rPr>
          <w:rFonts w:ascii="仿宋_GB2312" w:eastAsia="仿宋_GB2312"/>
          <w:b w:val="0"/>
          <w:sz w:val="32"/>
          <w:szCs w:val="32"/>
        </w:rPr>
        <w:t>。单位全年安排的因公出国（境）团组0个，因公出国（境）0人次。</w:t>
      </w:r>
    </w:p>
    <w:p w14:paraId="1E8DF2D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w:t>
      </w:r>
      <w:r>
        <w:rPr>
          <w:rFonts w:hint="eastAsia" w:ascii="仿宋_GB2312" w:eastAsia="仿宋_GB2312"/>
          <w:b w:val="0"/>
          <w:sz w:val="32"/>
          <w:szCs w:val="32"/>
          <w:lang w:val="en-US" w:eastAsia="zh-CN"/>
        </w:rPr>
        <w:t>本</w:t>
      </w:r>
      <w:r>
        <w:rPr>
          <w:rFonts w:ascii="仿宋_GB2312" w:eastAsia="仿宋_GB2312"/>
          <w:b w:val="0"/>
          <w:sz w:val="32"/>
          <w:szCs w:val="32"/>
        </w:rPr>
        <w:t>单位</w:t>
      </w:r>
      <w:r>
        <w:rPr>
          <w:rFonts w:hint="eastAsia" w:ascii="仿宋_GB2312" w:eastAsia="仿宋_GB2312"/>
          <w:b w:val="0"/>
          <w:sz w:val="32"/>
          <w:szCs w:val="32"/>
          <w:lang w:val="en-US" w:eastAsia="zh-CN"/>
        </w:rPr>
        <w:t>无</w:t>
      </w:r>
      <w:r>
        <w:rPr>
          <w:rFonts w:ascii="仿宋_GB2312" w:eastAsia="仿宋_GB2312"/>
          <w:b w:val="0"/>
          <w:sz w:val="32"/>
          <w:szCs w:val="32"/>
        </w:rPr>
        <w:t>公务用车运行维护费。公务用车购置数0辆，公务用车保有量0辆。国有资产占用情况中固定资产车辆1辆，与公务用车保有量差异原因是：我单位公务用车正在申请报废。</w:t>
      </w:r>
    </w:p>
    <w:p w14:paraId="2740E51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val="en-US" w:eastAsia="zh-CN"/>
        </w:rPr>
        <w:t>本</w:t>
      </w:r>
      <w:r>
        <w:rPr>
          <w:rFonts w:ascii="仿宋_GB2312" w:eastAsia="仿宋_GB2312"/>
          <w:b w:val="0"/>
          <w:sz w:val="32"/>
          <w:szCs w:val="32"/>
        </w:rPr>
        <w:t>单位</w:t>
      </w:r>
      <w:r>
        <w:rPr>
          <w:rFonts w:hint="eastAsia" w:ascii="仿宋_GB2312" w:eastAsia="仿宋_GB2312"/>
          <w:b w:val="0"/>
          <w:sz w:val="32"/>
          <w:szCs w:val="32"/>
          <w:lang w:val="en-US" w:eastAsia="zh-CN"/>
        </w:rPr>
        <w:t>无</w:t>
      </w:r>
      <w:r>
        <w:rPr>
          <w:rFonts w:ascii="仿宋_GB2312" w:eastAsia="仿宋_GB2312"/>
          <w:b w:val="0"/>
          <w:sz w:val="32"/>
          <w:szCs w:val="32"/>
        </w:rPr>
        <w:t>公务接待费。单位全年安排的国内公务接待0批次，0人次。</w:t>
      </w:r>
    </w:p>
    <w:p w14:paraId="1E77F36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b w:val="0"/>
          <w:sz w:val="32"/>
          <w:szCs w:val="32"/>
          <w:lang w:val="en-US" w:eastAsia="zh-CN"/>
        </w:rPr>
        <w:t>本</w:t>
      </w:r>
      <w:r>
        <w:rPr>
          <w:rFonts w:ascii="仿宋_GB2312" w:eastAsia="仿宋_GB2312"/>
          <w:b w:val="0"/>
          <w:sz w:val="32"/>
          <w:szCs w:val="32"/>
        </w:rPr>
        <w:t>单位</w:t>
      </w:r>
      <w:r>
        <w:rPr>
          <w:rFonts w:hint="eastAsia" w:ascii="仿宋_GB2312" w:eastAsia="仿宋_GB2312"/>
          <w:b w:val="0"/>
          <w:sz w:val="32"/>
          <w:szCs w:val="32"/>
          <w:lang w:val="en-US" w:eastAsia="zh-CN"/>
        </w:rPr>
        <w:t>无财政拨款</w:t>
      </w:r>
      <w:r>
        <w:rPr>
          <w:rFonts w:ascii="仿宋_GB2312" w:eastAsia="仿宋_GB2312"/>
          <w:b w:val="0"/>
          <w:sz w:val="32"/>
          <w:szCs w:val="32"/>
        </w:rPr>
        <w:t>“三公”经费支出。其中：因公出国（境）费用全年预算数0.00万元，决算数0.00万元，预决算差异率0.00%，主要原因是：</w:t>
      </w:r>
      <w:r>
        <w:rPr>
          <w:rFonts w:hint="eastAsia" w:ascii="仿宋_GB2312" w:eastAsia="仿宋_GB2312"/>
          <w:b w:val="0"/>
          <w:sz w:val="32"/>
          <w:szCs w:val="32"/>
          <w:lang w:val="en-US" w:eastAsia="zh-CN"/>
        </w:rPr>
        <w:t>本</w:t>
      </w:r>
      <w:r>
        <w:rPr>
          <w:rFonts w:ascii="仿宋_GB2312" w:eastAsia="仿宋_GB2312"/>
          <w:b w:val="0"/>
          <w:sz w:val="32"/>
          <w:szCs w:val="32"/>
        </w:rPr>
        <w:t>单位</w:t>
      </w:r>
      <w:r>
        <w:rPr>
          <w:rFonts w:hint="eastAsia" w:ascii="仿宋_GB2312" w:eastAsia="仿宋_GB2312"/>
          <w:b w:val="0"/>
          <w:sz w:val="32"/>
          <w:szCs w:val="32"/>
          <w:lang w:val="en-US" w:eastAsia="zh-CN"/>
        </w:rPr>
        <w:t>无</w:t>
      </w:r>
      <w:r>
        <w:rPr>
          <w:rFonts w:ascii="仿宋_GB2312" w:eastAsia="仿宋_GB2312"/>
          <w:b w:val="0"/>
          <w:sz w:val="32"/>
          <w:szCs w:val="32"/>
        </w:rPr>
        <w:t>因公出国（境）费；公务用车购置费全年预算数0.00万元，决算数0.00万元，预决算差异率0.00%，主要原因是：</w:t>
      </w:r>
      <w:r>
        <w:rPr>
          <w:rFonts w:hint="eastAsia" w:ascii="仿宋_GB2312" w:eastAsia="仿宋_GB2312"/>
          <w:b w:val="0"/>
          <w:sz w:val="32"/>
          <w:szCs w:val="32"/>
          <w:lang w:val="en-US" w:eastAsia="zh-CN"/>
        </w:rPr>
        <w:t>本</w:t>
      </w:r>
      <w:r>
        <w:rPr>
          <w:rFonts w:ascii="仿宋_GB2312" w:eastAsia="仿宋_GB2312"/>
          <w:b w:val="0"/>
          <w:sz w:val="32"/>
          <w:szCs w:val="32"/>
        </w:rPr>
        <w:t>单位</w:t>
      </w:r>
      <w:r>
        <w:rPr>
          <w:rFonts w:hint="eastAsia" w:ascii="仿宋_GB2312" w:eastAsia="仿宋_GB2312"/>
          <w:b w:val="0"/>
          <w:sz w:val="32"/>
          <w:szCs w:val="32"/>
          <w:lang w:val="en-US" w:eastAsia="zh-CN"/>
        </w:rPr>
        <w:t>无</w:t>
      </w:r>
      <w:r>
        <w:rPr>
          <w:rFonts w:ascii="仿宋_GB2312" w:eastAsia="仿宋_GB2312"/>
          <w:b w:val="0"/>
          <w:sz w:val="32"/>
          <w:szCs w:val="32"/>
        </w:rPr>
        <w:t>公务用车购置费；公务用车运行维护费全年预算数0.00万元，决算数0.00万元，预决算差异率0.00%，主要原因是：</w:t>
      </w:r>
      <w:r>
        <w:rPr>
          <w:rFonts w:hint="eastAsia" w:ascii="仿宋_GB2312" w:eastAsia="仿宋_GB2312"/>
          <w:b w:val="0"/>
          <w:sz w:val="32"/>
          <w:szCs w:val="32"/>
          <w:lang w:val="en-US" w:eastAsia="zh-CN"/>
        </w:rPr>
        <w:t>本</w:t>
      </w:r>
      <w:r>
        <w:rPr>
          <w:rFonts w:ascii="仿宋_GB2312" w:eastAsia="仿宋_GB2312"/>
          <w:b w:val="0"/>
          <w:sz w:val="32"/>
          <w:szCs w:val="32"/>
        </w:rPr>
        <w:t>单位</w:t>
      </w:r>
      <w:r>
        <w:rPr>
          <w:rFonts w:hint="eastAsia" w:ascii="仿宋_GB2312" w:eastAsia="仿宋_GB2312"/>
          <w:b w:val="0"/>
          <w:sz w:val="32"/>
          <w:szCs w:val="32"/>
          <w:lang w:val="en-US" w:eastAsia="zh-CN"/>
        </w:rPr>
        <w:t>无</w:t>
      </w:r>
      <w:r>
        <w:rPr>
          <w:rFonts w:ascii="仿宋_GB2312" w:eastAsia="仿宋_GB2312"/>
          <w:b w:val="0"/>
          <w:sz w:val="32"/>
          <w:szCs w:val="32"/>
        </w:rPr>
        <w:t>公务用车运行维护费；公务接待费全年预算数0.00万元，决算数0.00万元，预决算差异率0.00%，主要原因是：</w:t>
      </w:r>
      <w:r>
        <w:rPr>
          <w:rFonts w:hint="eastAsia" w:ascii="仿宋_GB2312" w:eastAsia="仿宋_GB2312"/>
          <w:b w:val="0"/>
          <w:sz w:val="32"/>
          <w:szCs w:val="32"/>
          <w:lang w:val="en-US" w:eastAsia="zh-CN"/>
        </w:rPr>
        <w:t>本</w:t>
      </w:r>
      <w:r>
        <w:rPr>
          <w:rFonts w:ascii="仿宋_GB2312" w:eastAsia="仿宋_GB2312"/>
          <w:b w:val="0"/>
          <w:sz w:val="32"/>
          <w:szCs w:val="32"/>
        </w:rPr>
        <w:t>单位</w:t>
      </w:r>
      <w:r>
        <w:rPr>
          <w:rFonts w:hint="eastAsia" w:ascii="仿宋_GB2312" w:eastAsia="仿宋_GB2312"/>
          <w:b w:val="0"/>
          <w:sz w:val="32"/>
          <w:szCs w:val="32"/>
          <w:lang w:val="en-US" w:eastAsia="zh-CN"/>
        </w:rPr>
        <w:t>无</w:t>
      </w:r>
      <w:r>
        <w:rPr>
          <w:rFonts w:ascii="仿宋_GB2312" w:eastAsia="仿宋_GB2312"/>
          <w:b w:val="0"/>
          <w:sz w:val="32"/>
          <w:szCs w:val="32"/>
        </w:rPr>
        <w:t>公务接待费。</w:t>
      </w:r>
    </w:p>
    <w:p w14:paraId="146EABE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728CD77B">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6165555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畜牧科学院畜牧业经济与信息研究所（新疆维吾尔自治区畜牧科技宣传教育中心）（事业单位）公用经费支出65.09万元，比上年增加10.47万元，增长19.17%，主要原因是：本年度差旅费、办公费、其他商品和服务支出较上年增加。</w:t>
      </w:r>
    </w:p>
    <w:p w14:paraId="7019922E">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664DAB5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2025年度政府采购支出总额50.66万元，其中：政府采购货物支出12.72万元、政府采购工程支出0.00万元、政府采购服务支出37.93万元。</w:t>
      </w:r>
    </w:p>
    <w:p w14:paraId="4BBA77B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授予中小企业合同金额42.91万元，占政府采购支出总额的84.70%，其中：授予小微企业合同金额37.93万元，占政府采购支出总额的74.87%。</w:t>
      </w:r>
    </w:p>
    <w:p w14:paraId="1A16628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30A2685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0.00平方米，价值0.00万元。车辆1辆，价值17.58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b w:val="0"/>
          <w:sz w:val="32"/>
          <w:szCs w:val="32"/>
          <w:lang w:val="en-US" w:eastAsia="zh-CN"/>
        </w:rPr>
        <w:t>一般</w:t>
      </w:r>
      <w:r>
        <w:rPr>
          <w:rFonts w:ascii="仿宋_GB2312" w:eastAsia="仿宋_GB2312"/>
          <w:b w:val="0"/>
          <w:sz w:val="32"/>
          <w:szCs w:val="32"/>
        </w:rPr>
        <w:t>公务</w:t>
      </w:r>
      <w:r>
        <w:rPr>
          <w:rFonts w:hint="eastAsia" w:ascii="仿宋_GB2312" w:eastAsia="仿宋_GB2312"/>
          <w:b w:val="0"/>
          <w:sz w:val="32"/>
          <w:szCs w:val="32"/>
          <w:lang w:val="en-US" w:eastAsia="zh-CN"/>
        </w:rPr>
        <w:t>用</w:t>
      </w:r>
      <w:r>
        <w:rPr>
          <w:rFonts w:ascii="仿宋_GB2312" w:eastAsia="仿宋_GB2312"/>
          <w:b w:val="0"/>
          <w:sz w:val="32"/>
          <w:szCs w:val="32"/>
        </w:rPr>
        <w:t>车</w:t>
      </w:r>
      <w:bookmarkStart w:id="0" w:name="_GoBack"/>
      <w:bookmarkEnd w:id="0"/>
      <w:r>
        <w:rPr>
          <w:rFonts w:ascii="仿宋_GB2312" w:eastAsia="仿宋_GB2312"/>
          <w:b w:val="0"/>
          <w:sz w:val="32"/>
          <w:szCs w:val="32"/>
        </w:rPr>
        <w:t>;单价100万元（含）以上设备（不含车辆）0台（套）。</w:t>
      </w:r>
    </w:p>
    <w:p w14:paraId="5FDBF92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410181E0">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根据预算绩效管理要求，本单位2025年度预算绩效评价项目2个，全年预算数251.18万元，全年执行数251.18万元。预算绩效管理取得的成效：一是为我国和我区从事畜牧业教学、科研和生产单位提供了大量有价值的畜牧科技情报信息；二是对促进我国和我区畜牧业的科技进步和生产发展起到了积极作用。发现的问题及原因：一是要改进管理方式方法，提高资金使用效益；二是有的绩效评价指标设置不科学，需要改进。下一步改进措施：一是要加强绩效全过程管理力度，按时完成绩效管理任务；二是合理设置绩效评价指标。具体附项目支出绩效自评表。</w:t>
      </w:r>
    </w:p>
    <w:p w14:paraId="7327B93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31BA395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328FA125">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656286B5">
      <w:pPr>
        <w:widowControl/>
      </w:pPr>
      <w:r>
        <w:rPr>
          <w:b w:val="0"/>
          <w:sz w:val="0"/>
          <w:szCs w:val="0"/>
        </w:rPr>
        <w:br w:type="page"/>
      </w:r>
    </w:p>
    <w:p w14:paraId="53BEB837">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666A797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20430E1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573BE0F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2EEF915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0DF4EB2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02EEE3C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4C4A577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2D25AB2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0D284C8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7A31CDA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6DC7E5A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4906F42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7095DDA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3AEFF13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42929126">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082CF28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4EFFA7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467958E1">
      <w:pPr>
        <w:widowControl/>
      </w:pPr>
      <w:r>
        <w:rPr>
          <w:b w:val="0"/>
          <w:sz w:val="0"/>
          <w:szCs w:val="0"/>
        </w:rPr>
        <w:br w:type="page"/>
      </w:r>
    </w:p>
    <w:p w14:paraId="4770193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3EE941A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6F17117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6D1853E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26D1F73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439BEB9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5545DCC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66F3915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7B3B3A6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1642FF9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1906" w:h="16838"/>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7FC4CF2A">
    <w:panose1 w:val="020B0604020202020204"/>
    <w:charset w:val="00"/>
    <w:family w:val="auto"/>
    <w:pitch w:val="default"/>
    <w:sig w:usb0="00000001"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2AF140CE"/>
    <w:rsid w:val="54500C3C"/>
    <w:rsid w:val="6A162244"/>
    <w:rsid w:val="7E4F32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5251</Words>
  <Characters>5841</Characters>
  <TotalTime>16</TotalTime>
  <ScaleCrop>false</ScaleCrop>
  <LinksUpToDate>false</LinksUpToDate>
  <CharactersWithSpaces>5849</CharactersWithSpaces>
  <Application>WPS Office_12.1.0.26885_F1E327BC-269C-435d-A152-05C5408002CA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2026-08-14T10:07:00Z</dcterms:created>
  <dc:creator>lenovo</dc:creator>
  <cp:lastModifiedBy>W.w</cp:lastModifiedBy>
  <dcterms:modified xsi:type="dcterms:W3CDTF">2026-08-26T15:09:00Z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eyJoZGlkIjoiYTZjZThjMDFjYjU0NDRjYWE1YjFlZmFjNmU0NDBiYTgiLCJ1c2VySWQiOiI0NjExNzA3OTgifQ==</vt:lpwstr>
  </property>
  <property fmtid="{D5CDD505-2E9C-101B-9397-08002B2CF9AE}" pid="3" name="KSOProductBuildVer">
    <vt:lpwstr>2052-12.1.0.26885</vt:lpwstr>
  </property>
  <property fmtid="{D5CDD505-2E9C-101B-9397-08002B2CF9AE}" pid="4" name="ICV">
    <vt:lpwstr>7330925BD57549DAA329B931B94719DA_12</vt:lpwstr>
  </property>
</Properties>
</file>