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CAB717">
      <w:pPr>
        <w:widowControl/>
        <w:spacing w:before="0" w:beforeLines="0" w:beforeAutospacing="0" w:after="0" w:afterLines="0" w:afterAutospacing="0" w:line="240" w:lineRule="auto"/>
        <w:jc w:val="left"/>
        <w:rPr>
          <w:rFonts w:ascii="宋体" w:eastAsia="宋体"/>
          <w:sz w:val="32"/>
          <w:szCs w:val="32"/>
        </w:rPr>
      </w:pPr>
    </w:p>
    <w:p w14:paraId="4F9B0974">
      <w:pPr>
        <w:widowControl/>
        <w:spacing w:before="0" w:beforeLines="0" w:beforeAutospacing="0" w:after="0" w:afterLines="0" w:afterAutospacing="0" w:line="240" w:lineRule="auto"/>
        <w:jc w:val="left"/>
        <w:rPr>
          <w:rFonts w:ascii="宋体" w:eastAsia="宋体"/>
          <w:sz w:val="44"/>
          <w:szCs w:val="44"/>
        </w:rPr>
      </w:pPr>
    </w:p>
    <w:p w14:paraId="21FB4B02">
      <w:pPr>
        <w:widowControl/>
        <w:spacing w:before="0" w:beforeLines="0" w:beforeAutospacing="0" w:after="0" w:afterLines="0" w:afterAutospacing="0" w:line="240" w:lineRule="auto"/>
        <w:jc w:val="left"/>
        <w:rPr>
          <w:rFonts w:ascii="宋体" w:eastAsia="宋体"/>
          <w:sz w:val="44"/>
          <w:szCs w:val="44"/>
        </w:rPr>
      </w:pPr>
    </w:p>
    <w:p w14:paraId="1CE7EE00">
      <w:pPr>
        <w:widowControl/>
        <w:spacing w:before="0" w:beforeLines="0" w:beforeAutospacing="0" w:after="0" w:afterLines="0" w:afterAutospacing="0" w:line="240" w:lineRule="auto"/>
        <w:jc w:val="left"/>
        <w:rPr>
          <w:rFonts w:ascii="宋体" w:eastAsia="宋体"/>
          <w:sz w:val="44"/>
          <w:szCs w:val="44"/>
        </w:rPr>
      </w:pPr>
    </w:p>
    <w:p w14:paraId="0E5C464B">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新疆畜牧科学院畜牧研究所</w:t>
      </w:r>
    </w:p>
    <w:p w14:paraId="11AEC938">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6A33A8E2">
      <w:pPr>
        <w:widowControl/>
      </w:pPr>
      <w:r>
        <w:rPr>
          <w:b w:val="0"/>
          <w:sz w:val="0"/>
          <w:szCs w:val="0"/>
        </w:rPr>
        <w:br w:type="page"/>
      </w:r>
    </w:p>
    <w:p w14:paraId="2DCA0FC2">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4D4A846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10B4B7F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0D290EF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5F49EC5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03ADCE2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0CBA8CE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26CFC1F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2CBE7B0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25D8FA0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060A533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0F173FA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48CFE3B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036AC93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5B847CA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5CBE805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28A5BE7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09A7E3E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70391ED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5090D35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73A58DA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1ABDAB8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353345E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0487457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29A040D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5A40235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0D8136D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182F078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1C58ACD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3F70AFD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78ACEC8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63135C7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41E45B7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23DFED8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1E21585D">
      <w:pPr>
        <w:widowControl/>
      </w:pPr>
      <w:r>
        <w:rPr>
          <w:b w:val="0"/>
          <w:sz w:val="0"/>
          <w:szCs w:val="0"/>
        </w:rPr>
        <w:br w:type="page"/>
      </w:r>
    </w:p>
    <w:p w14:paraId="7446B71D">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40AD766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64C291E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畜牧研究所隶属于畜牧科学院，是全疆综合性畜牧科学研究机构，主要承担家畜的遗传育种与繁殖、品种资源、饲养管理、畜产品加工、畜牧环境工程、畜牧业机械研究；承担畜牧科技成果转化示范、技术推广、生产技术咨询与服务工作。</w:t>
      </w:r>
    </w:p>
    <w:p w14:paraId="763F776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2E2C07F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新疆畜牧科学院畜牧研究所无下属预算单位。</w:t>
      </w:r>
    </w:p>
    <w:p w14:paraId="7EF2248B">
      <w:pPr>
        <w:widowControl/>
      </w:pPr>
      <w:r>
        <w:rPr>
          <w:b w:val="0"/>
          <w:sz w:val="0"/>
          <w:szCs w:val="0"/>
        </w:rPr>
        <w:br w:type="page"/>
      </w:r>
    </w:p>
    <w:p w14:paraId="6BA2F2D4">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516C0AB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346FFC7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2025年度收入总计8,993.03万元，其中：本年收入合计7,206.29万元，使用非财政拨款结余（含专用结余）0.00万元，年初结转和结余1,786.74万元。</w:t>
      </w:r>
    </w:p>
    <w:p w14:paraId="586EFE6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2025年度支出总计8,993.03万元，其中：本年支出合计5,592.91万元，结余分配0.00万元，年末结转和结余3,400.12万元。</w:t>
      </w:r>
    </w:p>
    <w:p w14:paraId="6B5EB1E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收入支出总体与上年相比，增加487.21万元，增长5.73%，主要原因是：</w:t>
      </w:r>
      <w:r>
        <w:rPr>
          <w:rFonts w:hint="eastAsia" w:ascii="仿宋_GB2312" w:eastAsia="仿宋_GB2312"/>
          <w:b w:val="0"/>
          <w:sz w:val="32"/>
          <w:szCs w:val="32"/>
          <w:lang w:val="en-US" w:eastAsia="zh-CN"/>
        </w:rPr>
        <w:t>一是</w:t>
      </w:r>
      <w:r>
        <w:rPr>
          <w:rFonts w:ascii="仿宋_GB2312" w:eastAsia="仿宋_GB2312"/>
          <w:b w:val="0"/>
          <w:sz w:val="32"/>
          <w:szCs w:val="32"/>
        </w:rPr>
        <w:t>本年在职人员增加，在职人员工资调增、社保、公积金基数调增，人员经费增加。</w:t>
      </w:r>
      <w:r>
        <w:rPr>
          <w:rFonts w:hint="eastAsia" w:ascii="仿宋_GB2312" w:eastAsia="仿宋_GB2312"/>
          <w:b w:val="0"/>
          <w:sz w:val="32"/>
          <w:szCs w:val="32"/>
          <w:lang w:val="en-US" w:eastAsia="zh-CN"/>
        </w:rPr>
        <w:t>二是</w:t>
      </w:r>
      <w:r>
        <w:rPr>
          <w:rFonts w:ascii="仿宋_GB2312" w:eastAsia="仿宋_GB2312"/>
          <w:b w:val="0"/>
          <w:sz w:val="32"/>
          <w:szCs w:val="32"/>
        </w:rPr>
        <w:t>本年</w:t>
      </w:r>
      <w:r>
        <w:rPr>
          <w:rFonts w:hint="eastAsia" w:ascii="仿宋_GB2312" w:eastAsia="仿宋_GB2312"/>
          <w:b w:val="0"/>
          <w:sz w:val="32"/>
          <w:szCs w:val="32"/>
        </w:rPr>
        <w:t>自治区重大科技专项项目新疆农区多胎羊多羔绵羊种质创新工程</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NK项目、自治区重大专项新疆地方优势肉牛种质资源创新与新品系种培育技术研究</w:t>
      </w:r>
      <w:r>
        <w:rPr>
          <w:rFonts w:ascii="仿宋_GB2312" w:eastAsia="仿宋_GB2312"/>
          <w:b w:val="0"/>
          <w:sz w:val="32"/>
          <w:szCs w:val="32"/>
        </w:rPr>
        <w:t>等</w:t>
      </w:r>
      <w:r>
        <w:rPr>
          <w:rFonts w:hint="eastAsia" w:ascii="仿宋_GB2312" w:eastAsia="仿宋_GB2312"/>
          <w:b w:val="0"/>
          <w:sz w:val="32"/>
          <w:szCs w:val="32"/>
          <w:lang w:val="en-US" w:eastAsia="zh-CN"/>
        </w:rPr>
        <w:t>延续性</w:t>
      </w:r>
      <w:r>
        <w:rPr>
          <w:rFonts w:ascii="仿宋_GB2312" w:eastAsia="仿宋_GB2312"/>
          <w:b w:val="0"/>
          <w:sz w:val="32"/>
          <w:szCs w:val="32"/>
        </w:rPr>
        <w:t>项目</w:t>
      </w:r>
      <w:r>
        <w:rPr>
          <w:rFonts w:hint="eastAsia" w:ascii="仿宋_GB2312" w:eastAsia="仿宋_GB2312"/>
          <w:b w:val="0"/>
          <w:sz w:val="32"/>
          <w:szCs w:val="32"/>
          <w:lang w:val="en-US" w:eastAsia="zh-CN"/>
        </w:rPr>
        <w:t>增加</w:t>
      </w:r>
      <w:r>
        <w:rPr>
          <w:rFonts w:ascii="仿宋_GB2312" w:eastAsia="仿宋_GB2312"/>
          <w:b w:val="0"/>
          <w:sz w:val="32"/>
          <w:szCs w:val="32"/>
        </w:rPr>
        <w:t>。</w:t>
      </w:r>
    </w:p>
    <w:p w14:paraId="5AF38FB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322B291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7,206.29万元，其中：财政拨款收入2,873.45万元,占39.87%；上级补助收入0.00万元,占0.00%；事业收入178.38万元，占2.48%；经营收入0.00万元,占0.00%；附属单位上缴收入0.00万元，占0.00%；其他收入4,154.45万元，占57.65%。</w:t>
      </w:r>
    </w:p>
    <w:p w14:paraId="0DAC99F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4D5F169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本年支出5,592.91万元，其中：基本支出1,625.45万元，占29.06%；项目支出3,967.46万元，占70.94%；上缴上级支出0.00万元，占0.00%；经营支出0.00万元，占0.00%；对附属单位补助支出0.00万元，占0.00%。</w:t>
      </w:r>
    </w:p>
    <w:p w14:paraId="6301C31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0FAF9E4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2,873.45万元，其中：年初财政拨款结转和结余0.00万元，本年财政拨款收入2,873.45万元。财政拨款支出总计2,873.45万元，其中：年末财政拨款结转和结余0.00万元，本年财政拨款支出2,873.45万元。</w:t>
      </w:r>
    </w:p>
    <w:p w14:paraId="0FCEE41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财政拨款收入支出总体与上年相比，增加1.77万元，增长0.06%，主要原因是：</w:t>
      </w:r>
      <w:r>
        <w:rPr>
          <w:rFonts w:hint="eastAsia" w:ascii="仿宋_GB2312" w:eastAsia="仿宋_GB2312"/>
          <w:b w:val="0"/>
          <w:sz w:val="32"/>
          <w:szCs w:val="32"/>
        </w:rPr>
        <w:t>一是本年在职人员增加，在职人员工资调增、社保、公积金基数调增，人员经费增加</w:t>
      </w:r>
      <w:r>
        <w:rPr>
          <w:rFonts w:ascii="仿宋_GB2312" w:eastAsia="仿宋_GB2312"/>
          <w:b w:val="0"/>
          <w:sz w:val="32"/>
          <w:szCs w:val="32"/>
        </w:rPr>
        <w:t>。与年初预算相比，年初预算数1,788.10万元，决算数2,873.45万元，预决算差异率60.70%，主要原因是：</w:t>
      </w:r>
      <w:r>
        <w:rPr>
          <w:rFonts w:hint="eastAsia" w:ascii="仿宋_GB2312" w:eastAsia="仿宋_GB2312"/>
          <w:b w:val="0"/>
          <w:sz w:val="32"/>
          <w:szCs w:val="32"/>
        </w:rPr>
        <w:t>年中追加人员工资、社保、公积金基数调增部分资金，导致预决算存在差异；年中追加国库增加人才发展基金项目以及现代畜禽种业提升等项目，导致预决算存在差异</w:t>
      </w:r>
      <w:r>
        <w:rPr>
          <w:rFonts w:ascii="仿宋_GB2312" w:eastAsia="仿宋_GB2312"/>
          <w:b w:val="0"/>
          <w:sz w:val="32"/>
          <w:szCs w:val="32"/>
        </w:rPr>
        <w:t>。</w:t>
      </w:r>
    </w:p>
    <w:p w14:paraId="285BC25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68E511C1">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b w:val="0"/>
          <w:sz w:val="32"/>
          <w:szCs w:val="32"/>
        </w:rPr>
        <w:t>机构运行、公共服务、事业发展、民生保障</w:t>
      </w:r>
      <w:r>
        <w:rPr>
          <w:rFonts w:ascii="仿宋_GB2312" w:eastAsia="仿宋_GB2312"/>
          <w:b w:val="0"/>
          <w:sz w:val="32"/>
          <w:szCs w:val="32"/>
        </w:rPr>
        <w:t>等重点支出，体现在有关支出科目中。</w:t>
      </w:r>
    </w:p>
    <w:p w14:paraId="2D13471C">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按照支出功能分类，科学技术支出（类）应用研究（款）机构运行（项）的支出占本年财政拨款支出总额的比重最高，2025年度决算数为1,625.45万元，占比56.57%，主要用于</w:t>
      </w:r>
      <w:r>
        <w:rPr>
          <w:rFonts w:hint="eastAsia" w:ascii="仿宋_GB2312" w:eastAsia="仿宋_GB2312"/>
          <w:b w:val="0"/>
          <w:sz w:val="32"/>
          <w:szCs w:val="32"/>
        </w:rPr>
        <w:t>员工资福利、日常公用经费</w:t>
      </w:r>
      <w:r>
        <w:rPr>
          <w:rFonts w:ascii="仿宋_GB2312" w:eastAsia="仿宋_GB2312"/>
          <w:b w:val="0"/>
          <w:sz w:val="32"/>
          <w:szCs w:val="32"/>
        </w:rPr>
        <w:t>。</w:t>
      </w:r>
    </w:p>
    <w:p w14:paraId="06B8C319">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2BF1471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2025年度一般公共预算财政拨款支出2,873.45万元，占本年支出合计的51.38%。与上年相比，增加1.77万元，增长0.06%，主要原因是：</w:t>
      </w:r>
      <w:r>
        <w:rPr>
          <w:rFonts w:hint="eastAsia" w:ascii="仿宋_GB2312" w:eastAsia="仿宋_GB2312"/>
          <w:b w:val="0"/>
          <w:sz w:val="32"/>
          <w:szCs w:val="32"/>
        </w:rPr>
        <w:t>一是本年在职人员增加，在职人员工资调增、社保、公积金基数调增，人员经费增加</w:t>
      </w:r>
      <w:r>
        <w:rPr>
          <w:rFonts w:ascii="仿宋_GB2312" w:eastAsia="仿宋_GB2312"/>
          <w:b w:val="0"/>
          <w:sz w:val="32"/>
          <w:szCs w:val="32"/>
        </w:rPr>
        <w:t>。与年初预算相比，年初预算数1,788.10万元，决算数2,873.45万元，预决算差异率60.70%，主要原因是：</w:t>
      </w:r>
      <w:r>
        <w:rPr>
          <w:rFonts w:hint="eastAsia" w:ascii="仿宋_GB2312" w:eastAsia="仿宋_GB2312"/>
          <w:b w:val="0"/>
          <w:sz w:val="32"/>
          <w:szCs w:val="32"/>
        </w:rPr>
        <w:t>年中追加人员工资、社保、公积金基数调增部分资金，导致预决算存在差异；年中追加国库增加人才发展基金项目以及现代畜禽种业提升等项目，导致预决算存在差异</w:t>
      </w:r>
      <w:r>
        <w:rPr>
          <w:rFonts w:ascii="仿宋_GB2312" w:eastAsia="仿宋_GB2312"/>
          <w:b w:val="0"/>
          <w:sz w:val="32"/>
          <w:szCs w:val="32"/>
        </w:rPr>
        <w:t>。</w:t>
      </w:r>
    </w:p>
    <w:p w14:paraId="46D43379">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09ABE03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1.科学技术支出（类）2,035.45万元，占70.84%。</w:t>
      </w:r>
    </w:p>
    <w:p w14:paraId="7BBF1D6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2.农林水支出（类）838.00万元，占29.16%。</w:t>
      </w:r>
    </w:p>
    <w:p w14:paraId="2CE08695">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4CC10A39">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1.科学技术支出（类）基础研究（款）科技人才队伍建设（项）：支出决算数为410.00万元，比上年决算增加147.09万元，增长55.95%，主要原因是：</w:t>
      </w:r>
      <w:r>
        <w:rPr>
          <w:rFonts w:hint="eastAsia" w:ascii="仿宋_GB2312" w:eastAsia="仿宋_GB2312"/>
          <w:b w:val="0"/>
          <w:sz w:val="32"/>
          <w:szCs w:val="32"/>
        </w:rPr>
        <w:t>较上年增加天山英才科技创新团队项目经费</w:t>
      </w:r>
      <w:r>
        <w:rPr>
          <w:rFonts w:ascii="仿宋_GB2312" w:eastAsia="仿宋_GB2312"/>
          <w:b w:val="0"/>
          <w:sz w:val="32"/>
          <w:szCs w:val="32"/>
        </w:rPr>
        <w:t>。</w:t>
      </w:r>
    </w:p>
    <w:p w14:paraId="43F7EED6">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2.科学技术支出（类）应用研究（款）机构运行（项）：支出决算数为1,625.45万元，比上年决算增加125.61万元，增长8.37%，主要原因是：</w:t>
      </w:r>
      <w:r>
        <w:rPr>
          <w:rFonts w:hint="eastAsia" w:ascii="仿宋_GB2312" w:eastAsia="仿宋_GB2312"/>
          <w:b w:val="0"/>
          <w:sz w:val="32"/>
          <w:szCs w:val="32"/>
          <w:lang w:val="en-US" w:eastAsia="zh-CN"/>
        </w:rPr>
        <w:t>本</w:t>
      </w:r>
      <w:r>
        <w:rPr>
          <w:rFonts w:hint="eastAsia" w:ascii="仿宋_GB2312" w:eastAsia="仿宋_GB2312"/>
          <w:b w:val="0"/>
          <w:sz w:val="32"/>
          <w:szCs w:val="32"/>
        </w:rPr>
        <w:t>年在职人员工资调增，导致相关人员经费较上年有所增加</w:t>
      </w:r>
      <w:r>
        <w:rPr>
          <w:rFonts w:ascii="仿宋_GB2312" w:eastAsia="仿宋_GB2312"/>
          <w:b w:val="0"/>
          <w:sz w:val="32"/>
          <w:szCs w:val="32"/>
        </w:rPr>
        <w:t>。</w:t>
      </w:r>
    </w:p>
    <w:p w14:paraId="4A750C93">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3.科学技术支出（类）科技条件与服务（款）其他科技条件与服务支出（项）：支出决算数为0.00万元，比上年决算减少23.93万元，下降100.00%，主要原因是：2025年度三区科技人才支持计划项目由院机关统一核算</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导致本科目较上年减少</w:t>
      </w:r>
      <w:r>
        <w:rPr>
          <w:rFonts w:ascii="仿宋_GB2312" w:eastAsia="仿宋_GB2312"/>
          <w:b w:val="0"/>
          <w:sz w:val="32"/>
          <w:szCs w:val="32"/>
        </w:rPr>
        <w:t>。</w:t>
      </w:r>
    </w:p>
    <w:p w14:paraId="279F9C07">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4.社会保障和就业支出（类）人力资源和社会保障管理事务（款）其他人力资源和社会保障管理事务支出（项）：支出决算数为0.00万元，比上年决算减少105.00万元，下降100.00%，主要原因是：</w:t>
      </w:r>
      <w:r>
        <w:rPr>
          <w:rFonts w:hint="eastAsia" w:ascii="仿宋_GB2312" w:eastAsia="仿宋_GB2312"/>
          <w:b w:val="0"/>
          <w:sz w:val="32"/>
          <w:szCs w:val="32"/>
        </w:rPr>
        <w:t>2025年度特聘专家项目由院机关统一核算，导致本科目较上年减少</w:t>
      </w:r>
      <w:r>
        <w:rPr>
          <w:rFonts w:ascii="仿宋_GB2312" w:eastAsia="仿宋_GB2312"/>
          <w:b w:val="0"/>
          <w:sz w:val="32"/>
          <w:szCs w:val="32"/>
        </w:rPr>
        <w:t>。</w:t>
      </w:r>
    </w:p>
    <w:p w14:paraId="34E8BF89">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5.农林水支出（类）农业农村（款）科技转化与推广服务（项）：支出决算数为443.00万元，比上年决算减少44.00万元，下降9.03%，主要原因是：2025年度无小组团项目以及农业产业技术体系项目经费。</w:t>
      </w:r>
    </w:p>
    <w:p w14:paraId="5CF90471">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6.农林水支出（类）农业农村（款）农业生产发展（项）：支出决算数为395.00万元，比上年决算减少98.00万元，下降19.88%，主要原因是：2025年度自治区农业生产发展资金（畜牧业发展）项目资金减少。</w:t>
      </w:r>
    </w:p>
    <w:p w14:paraId="4B3ABB2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3A577AD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1,625.45万元，其中：人员经费1,505.53万元，包括：基本工资、津贴补贴、奖金、机关事业单位基本养老保险缴费、职业年金缴费、职工基本医疗保险缴费、公务员医疗补助缴费、其他社会保障缴费、住房公积金、离休费、退休费、抚恤金和其他对个人和家庭的补助。</w:t>
      </w:r>
    </w:p>
    <w:p w14:paraId="3CBF4E4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公用经费119.93万元，包括：办公费、水费、电费、邮电费、取暖费、物业管理费、差旅费、工会经费、福利费、公务用车运行维护费、其他交通费用和其他商品和服务支出。</w:t>
      </w:r>
    </w:p>
    <w:p w14:paraId="5DA3054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0F34251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7E0CFD8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700A1F9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05B50F0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6B7B2A3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2025年度财政拨款“三公”经费支出3.10万元，与上年相比无变化，主要原因是：</w:t>
      </w:r>
      <w:r>
        <w:rPr>
          <w:rFonts w:hint="eastAsia" w:ascii="仿宋_GB2312" w:eastAsia="仿宋_GB2312"/>
          <w:sz w:val="32"/>
          <w:szCs w:val="32"/>
          <w:highlight w:val="none"/>
        </w:rPr>
        <w:t>本单位财政拨款“三公”经费与上年一致无变化</w:t>
      </w:r>
      <w:r>
        <w:rPr>
          <w:rFonts w:ascii="仿宋_GB2312" w:eastAsia="仿宋_GB2312"/>
          <w:b w:val="0"/>
          <w:sz w:val="32"/>
          <w:szCs w:val="32"/>
        </w:rPr>
        <w:t>。其中：因公出国（境）费用支出0.00万元,占0.00%，与上年相比无变化，主要原因是：</w:t>
      </w:r>
      <w:r>
        <w:rPr>
          <w:rFonts w:hint="eastAsia" w:ascii="仿宋_GB2312" w:eastAsia="仿宋_GB2312"/>
          <w:sz w:val="32"/>
          <w:szCs w:val="32"/>
          <w:highlight w:val="none"/>
          <w:lang w:val="en-US" w:eastAsia="zh-CN"/>
        </w:rPr>
        <w:t>2024年与2025年均无</w:t>
      </w:r>
      <w:r>
        <w:rPr>
          <w:rFonts w:ascii="仿宋_GB2312" w:eastAsia="仿宋_GB2312"/>
          <w:b w:val="0"/>
          <w:sz w:val="32"/>
          <w:szCs w:val="32"/>
        </w:rPr>
        <w:t>因公出国（境）费用支出；公务用车购置及运行维护费支出3.10万元，占100.00%，与上年相比无变化，主要原因是：</w:t>
      </w:r>
      <w:r>
        <w:rPr>
          <w:rFonts w:hint="eastAsia" w:ascii="仿宋_GB2312" w:eastAsia="仿宋_GB2312"/>
          <w:sz w:val="32"/>
          <w:szCs w:val="32"/>
          <w:highlight w:val="none"/>
        </w:rPr>
        <w:t>本单位</w:t>
      </w:r>
      <w:r>
        <w:rPr>
          <w:rFonts w:ascii="仿宋_GB2312" w:eastAsia="仿宋_GB2312"/>
          <w:b w:val="0"/>
          <w:sz w:val="32"/>
          <w:szCs w:val="32"/>
        </w:rPr>
        <w:t>公务用车购置及运</w:t>
      </w:r>
      <w:bookmarkStart w:id="0" w:name="_GoBack"/>
      <w:bookmarkEnd w:id="0"/>
      <w:r>
        <w:rPr>
          <w:rFonts w:ascii="仿宋_GB2312" w:eastAsia="仿宋_GB2312"/>
          <w:b w:val="0"/>
          <w:sz w:val="32"/>
          <w:szCs w:val="32"/>
        </w:rPr>
        <w:t>行维护费</w:t>
      </w:r>
      <w:r>
        <w:rPr>
          <w:rFonts w:hint="eastAsia" w:ascii="仿宋_GB2312" w:eastAsia="仿宋_GB2312"/>
          <w:b w:val="0"/>
          <w:sz w:val="32"/>
          <w:szCs w:val="32"/>
          <w:lang w:eastAsia="zh-CN"/>
        </w:rPr>
        <w:t>支出</w:t>
      </w:r>
      <w:r>
        <w:rPr>
          <w:rFonts w:hint="eastAsia" w:ascii="仿宋_GB2312" w:eastAsia="仿宋_GB2312"/>
          <w:sz w:val="32"/>
          <w:szCs w:val="32"/>
          <w:highlight w:val="none"/>
        </w:rPr>
        <w:t>与上年一致无变化</w:t>
      </w:r>
      <w:r>
        <w:rPr>
          <w:rFonts w:ascii="仿宋_GB2312" w:eastAsia="仿宋_GB2312"/>
          <w:b w:val="0"/>
          <w:sz w:val="32"/>
          <w:szCs w:val="32"/>
        </w:rPr>
        <w:t>；公务接待费支出0.00万元，占0.00%，与上年相比无变化，主要原因是：</w:t>
      </w:r>
      <w:r>
        <w:rPr>
          <w:rFonts w:hint="eastAsia" w:ascii="仿宋_GB2312" w:eastAsia="仿宋_GB2312"/>
          <w:sz w:val="32"/>
          <w:szCs w:val="32"/>
          <w:highlight w:val="none"/>
          <w:lang w:val="en-US" w:eastAsia="zh-CN"/>
        </w:rPr>
        <w:t>2024年与2025年均无公务接待费</w:t>
      </w:r>
      <w:r>
        <w:rPr>
          <w:rFonts w:ascii="仿宋_GB2312" w:eastAsia="仿宋_GB2312"/>
          <w:b w:val="0"/>
          <w:sz w:val="32"/>
          <w:szCs w:val="32"/>
        </w:rPr>
        <w:t>。</w:t>
      </w:r>
    </w:p>
    <w:p w14:paraId="0F024712">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2DBB20B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rPr>
        <w:t>本单位无因公出国（境）费用</w:t>
      </w:r>
      <w:r>
        <w:rPr>
          <w:rFonts w:ascii="仿宋_GB2312" w:eastAsia="仿宋_GB2312"/>
          <w:b w:val="0"/>
          <w:sz w:val="32"/>
          <w:szCs w:val="32"/>
        </w:rPr>
        <w:t>。单位全年安排的因公出国（境）团组0个，因公出国（境）0人次。</w:t>
      </w:r>
    </w:p>
    <w:p w14:paraId="1C9D17D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公务用车购置及运行维护费3.10万元，其中：公务用车购置费0.00万元，公务用车运行维护费3.10万元。公务用车运行维护费开支内容包括</w:t>
      </w:r>
      <w:r>
        <w:rPr>
          <w:rFonts w:hint="eastAsia" w:ascii="仿宋_GB2312" w:eastAsia="仿宋_GB2312"/>
          <w:b w:val="0"/>
          <w:sz w:val="32"/>
          <w:szCs w:val="32"/>
        </w:rPr>
        <w:t>公务用车燃油费、车辆维修维护费、保险费</w:t>
      </w:r>
      <w:r>
        <w:rPr>
          <w:rFonts w:ascii="仿宋_GB2312" w:eastAsia="仿宋_GB2312"/>
          <w:b w:val="0"/>
          <w:sz w:val="32"/>
          <w:szCs w:val="32"/>
        </w:rPr>
        <w:t>。公务用车购置数0辆，公务用车保有量3辆。国有资产占用情况中固定资产车辆3辆，与公务用车保有量差异原因是：国有资产占用情况中固定资产车辆与公务用车保有量无差异。</w:t>
      </w:r>
    </w:p>
    <w:p w14:paraId="59DECFE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rPr>
        <w:t>本单位无公务接待费</w:t>
      </w:r>
      <w:r>
        <w:rPr>
          <w:rFonts w:ascii="仿宋_GB2312" w:eastAsia="仿宋_GB2312"/>
          <w:b w:val="0"/>
          <w:sz w:val="32"/>
          <w:szCs w:val="32"/>
        </w:rPr>
        <w:t>。单位全年安排的国内公务接待0批次，0人次。</w:t>
      </w:r>
    </w:p>
    <w:p w14:paraId="6720E5C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与全年预算相比，财政拨款“三公”经费支出全年预算数3.10万元，决算数3.10万元，预决算差异率0.00%，主要原因是：</w:t>
      </w:r>
      <w:r>
        <w:rPr>
          <w:rFonts w:hint="eastAsia" w:ascii="仿宋_GB2312" w:eastAsia="仿宋_GB2312"/>
          <w:b w:val="0"/>
          <w:sz w:val="32"/>
          <w:szCs w:val="32"/>
        </w:rPr>
        <w:t>严格按照预算执行，预决算无差异</w:t>
      </w:r>
      <w:r>
        <w:rPr>
          <w:rFonts w:ascii="仿宋_GB2312" w:eastAsia="仿宋_GB2312"/>
          <w:b w:val="0"/>
          <w:sz w:val="32"/>
          <w:szCs w:val="32"/>
        </w:rPr>
        <w:t>。其中：因公出国（境）费用全年预算数0.00万元，决算数0.00万元，预决算差异率0.00%，主要原因是：</w:t>
      </w:r>
      <w:r>
        <w:rPr>
          <w:rFonts w:hint="eastAsia" w:ascii="仿宋_GB2312" w:eastAsia="仿宋_GB2312"/>
          <w:b w:val="0"/>
          <w:sz w:val="32"/>
          <w:szCs w:val="32"/>
        </w:rPr>
        <w:t>本单位无因公出国（境）费用</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lang w:eastAsia="zh-CN"/>
        </w:rPr>
        <w:t>：本单位无公务用车购置费</w:t>
      </w:r>
      <w:r>
        <w:rPr>
          <w:rFonts w:ascii="仿宋_GB2312" w:eastAsia="仿宋_GB2312"/>
          <w:b w:val="0"/>
          <w:sz w:val="32"/>
          <w:szCs w:val="32"/>
        </w:rPr>
        <w:t>；公务用车运行维护费全年预算数3.10万元，决算数3.10万元，预决算差异率0.00%，主要原因是：</w:t>
      </w:r>
      <w:r>
        <w:rPr>
          <w:rFonts w:hint="eastAsia" w:ascii="仿宋_GB2312" w:eastAsia="仿宋_GB2312"/>
          <w:b w:val="0"/>
          <w:sz w:val="32"/>
          <w:szCs w:val="32"/>
        </w:rPr>
        <w:t>严格按照预算执行，预决算无差异</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rPr>
        <w:t>本单位无公务接待费</w:t>
      </w:r>
      <w:r>
        <w:rPr>
          <w:rFonts w:ascii="仿宋_GB2312" w:eastAsia="仿宋_GB2312"/>
          <w:b w:val="0"/>
          <w:sz w:val="32"/>
          <w:szCs w:val="32"/>
        </w:rPr>
        <w:t>。</w:t>
      </w:r>
    </w:p>
    <w:p w14:paraId="6A493FE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37F6228F">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0C84723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2025年度新疆畜牧科学院畜牧研究所（事业单位）公用经费支出119.93万元，比上年增加5.16万元，增长4.50%，主要原因是：</w:t>
      </w:r>
      <w:r>
        <w:rPr>
          <w:rFonts w:hint="eastAsia" w:ascii="仿宋_GB2312" w:eastAsia="仿宋_GB2312"/>
          <w:b w:val="0"/>
          <w:sz w:val="32"/>
          <w:szCs w:val="32"/>
        </w:rPr>
        <w:t>2025年度</w:t>
      </w:r>
      <w:r>
        <w:rPr>
          <w:rFonts w:hint="eastAsia" w:ascii="仿宋_GB2312" w:eastAsia="仿宋_GB2312"/>
          <w:b w:val="0"/>
          <w:sz w:val="32"/>
          <w:szCs w:val="32"/>
          <w:lang w:eastAsia="zh-CN"/>
        </w:rPr>
        <w:t>本单位</w:t>
      </w:r>
      <w:r>
        <w:rPr>
          <w:rFonts w:hint="eastAsia" w:ascii="仿宋_GB2312" w:eastAsia="仿宋_GB2312"/>
          <w:b w:val="0"/>
          <w:sz w:val="32"/>
          <w:szCs w:val="32"/>
        </w:rPr>
        <w:t>人员职称正常晋升，办公费用增加，公用经费增加</w:t>
      </w:r>
      <w:r>
        <w:rPr>
          <w:rFonts w:ascii="仿宋_GB2312" w:eastAsia="仿宋_GB2312"/>
          <w:b w:val="0"/>
          <w:sz w:val="32"/>
          <w:szCs w:val="32"/>
        </w:rPr>
        <w:t>。</w:t>
      </w:r>
    </w:p>
    <w:p w14:paraId="401FAF6D">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162E04A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2025年度政府采购支出总额44.16万元，其中：政府采购货物支出15.28万元、政府采购工程支出0.00万元、政府采购服务支出28.88万元。</w:t>
      </w:r>
    </w:p>
    <w:p w14:paraId="17599B4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授予中小企业合同金额44.16万元，占政府采购支出总额的100.00%，其中：授予小微企业合同金额44.16万元，占政府采购支出总额的100.00%。</w:t>
      </w:r>
    </w:p>
    <w:p w14:paraId="325B3100">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3DEDDB8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180.00平方米，价值17.61万元。车辆3辆，价值123.97万元，其中：副部（省）级及以上领导用车0辆、主要负责人用车0辆、机要通信用车0辆、应急保障用车0辆、执法执勤用车0辆、特种专业技术用车0辆、离退休干部服务用车0辆、其他用车3辆，其他用车主要是：</w:t>
      </w:r>
      <w:r>
        <w:rPr>
          <w:rFonts w:hint="eastAsia" w:ascii="仿宋_GB2312" w:eastAsia="仿宋_GB2312"/>
          <w:b w:val="0"/>
          <w:sz w:val="32"/>
          <w:szCs w:val="32"/>
          <w:lang w:val="en-US" w:eastAsia="zh-CN"/>
        </w:rPr>
        <w:t>一般公务用车</w:t>
      </w:r>
      <w:r>
        <w:rPr>
          <w:rFonts w:ascii="仿宋_GB2312" w:eastAsia="仿宋_GB2312"/>
          <w:b w:val="0"/>
          <w:sz w:val="32"/>
          <w:szCs w:val="32"/>
        </w:rPr>
        <w:t>;单价100万元（含）以上设备（不含车辆）1台（套）。</w:t>
      </w:r>
    </w:p>
    <w:p w14:paraId="4EAD570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076464A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2个，全年预算数2,994.53万元，全年执行数2,994.53万元。预算绩效管理取得的成效：一是为我国和我区从事畜牧业教学、科研和生产单位提供了大量有价值的畜牧科技情报信息；二是对促进我国和我区畜牧业的科技进步和生产发展起到了积极作用。发现的问题及原因：一是要改进管理方式方法，提高资金使用效益；二是有的绩效评价指标设置不科学，需要改进。下一步改进措施：一是要加强绩效</w:t>
      </w:r>
      <w:r>
        <w:rPr>
          <w:rFonts w:hint="eastAsia" w:ascii="仿宋_GB2312" w:eastAsia="仿宋_GB2312"/>
          <w:b w:val="0"/>
          <w:sz w:val="32"/>
          <w:szCs w:val="32"/>
          <w:lang w:eastAsia="zh-CN"/>
        </w:rPr>
        <w:t>“</w:t>
      </w:r>
      <w:r>
        <w:rPr>
          <w:rFonts w:ascii="仿宋_GB2312" w:eastAsia="仿宋_GB2312"/>
          <w:b w:val="0"/>
          <w:sz w:val="32"/>
          <w:szCs w:val="32"/>
        </w:rPr>
        <w:t>全过程</w:t>
      </w:r>
      <w:r>
        <w:rPr>
          <w:rFonts w:hint="eastAsia" w:ascii="仿宋_GB2312" w:eastAsia="仿宋_GB2312"/>
          <w:b w:val="0"/>
          <w:sz w:val="32"/>
          <w:szCs w:val="32"/>
          <w:lang w:eastAsia="zh-CN"/>
        </w:rPr>
        <w:t>”</w:t>
      </w:r>
      <w:r>
        <w:rPr>
          <w:rFonts w:ascii="仿宋_GB2312" w:eastAsia="仿宋_GB2312"/>
          <w:b w:val="0"/>
          <w:sz w:val="32"/>
          <w:szCs w:val="32"/>
        </w:rPr>
        <w:t>管理力度，按时完成绩效管理任务；二是合理设置绩效评价指标。具体附项目支出绩效自评表。</w:t>
      </w:r>
    </w:p>
    <w:p w14:paraId="023283EE">
      <w:pPr>
        <w:widowControl/>
        <w:spacing w:before="0" w:beforeLines="0" w:beforeAutospacing="0" w:after="0" w:afterLines="0" w:afterAutospacing="0" w:line="240" w:lineRule="auto"/>
        <w:ind w:firstLine="640" w:firstLineChars="200"/>
        <w:jc w:val="left"/>
        <w:rPr>
          <w:rFonts w:ascii="黑体" w:eastAsia="黑体"/>
          <w:sz w:val="32"/>
          <w:szCs w:val="32"/>
        </w:rPr>
      </w:pPr>
      <w:r>
        <w:rPr>
          <w:rFonts w:ascii="黑体" w:eastAsia="黑体"/>
          <w:b w:val="0"/>
          <w:sz w:val="32"/>
          <w:szCs w:val="32"/>
        </w:rPr>
        <w:t>十二、其他需说明的事项</w:t>
      </w:r>
    </w:p>
    <w:p w14:paraId="1C3AF02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573301AE">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4C799B02">
      <w:pPr>
        <w:widowControl/>
      </w:pPr>
      <w:r>
        <w:rPr>
          <w:b w:val="0"/>
          <w:sz w:val="0"/>
          <w:szCs w:val="0"/>
        </w:rPr>
        <w:br w:type="page"/>
      </w:r>
    </w:p>
    <w:p w14:paraId="56847320">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23C8A1C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2E9131F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13518FF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2A7DC92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661A20B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3E5C581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2F83E9B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076E75C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14CC4AD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77AB3FE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43D932D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7258342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010EAE7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21F32CB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33843DB6">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1D3736B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1D49408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04FB454F">
      <w:pPr>
        <w:widowControl/>
      </w:pPr>
      <w:r>
        <w:rPr>
          <w:b w:val="0"/>
          <w:sz w:val="0"/>
          <w:szCs w:val="0"/>
        </w:rPr>
        <w:br w:type="page"/>
      </w:r>
    </w:p>
    <w:p w14:paraId="0217C135">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7D1E178D">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66FD418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17CFA95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0CF14539">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60398DE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174571D7">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71965051">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3992CD11">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1A34658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000000"/>
    <w:rsid w:val="10A47EA9"/>
    <w:rsid w:val="166E5683"/>
    <w:rsid w:val="30FB3A70"/>
    <w:rsid w:val="411C653B"/>
    <w:rsid w:val="483623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semiHidden="0" w:name="annotation text"/>
    <w:lsdException w:qFormat="1" w:uiPriority="99" w:semiHidden="0" w:name="header"/>
    <w:lsdException w:uiPriority="99"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unhideWhenUsed/>
    <w:qFormat/>
    <w:uiPriority w:val="35"/>
    <w:pPr>
      <w:spacing w:line="240" w:lineRule="auto"/>
    </w:pPr>
    <w:rPr>
      <w:b/>
      <w:bCs/>
      <w:color w:val="4F81BD" w:themeColor="accent1"/>
      <w:sz w:val="18"/>
      <w:szCs w:val="18"/>
    </w:rPr>
  </w:style>
  <w:style w:type="paragraph" w:styleId="8">
    <w:name w:val="annotation text"/>
    <w:basedOn w:val="1"/>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Subtitle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Title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5438</Words>
  <Characters>6090</Characters>
  <TotalTime>6</TotalTime>
  <ScaleCrop>false</ScaleCrop>
  <LinksUpToDate>false</LinksUpToDate>
  <CharactersWithSpaces>6097</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2026-08-23T15:55:00Z</dcterms:created>
  <dc:creator>ldan</dc:creator>
  <cp:lastModifiedBy>雨。</cp:lastModifiedBy>
  <dcterms:modified xsi:type="dcterms:W3CDTF">2026-08-29T14:43:09Z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47EE6907117B42A1AB45479D7362E84F_12</vt:lpwstr>
  </property>
  <property fmtid="{D5CDD505-2E9C-101B-9397-08002B2CF9AE}" pid="4" name="KSOTemplateDocerSaveRecord">
    <vt:lpwstr>eyJoZGlkIjoiYTZjZThjMDFjYjU0NDRjYWE1YjFlZmFjNmU0NDBiYTgiLCJ1c2VySWQiOiI0NjExNzA3OTgifQ==</vt:lpwstr>
  </property>
</Properties>
</file>