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104E7">
      <w:pPr>
        <w:spacing w:after="0" w:line="240" w:lineRule="auto"/>
        <w:rPr>
          <w:rFonts w:ascii="宋体" w:eastAsia="宋体"/>
          <w:sz w:val="32"/>
          <w:szCs w:val="32"/>
        </w:rPr>
      </w:pPr>
    </w:p>
    <w:p w14:paraId="7539E2F0">
      <w:pPr>
        <w:spacing w:after="0" w:line="240" w:lineRule="auto"/>
        <w:rPr>
          <w:rFonts w:ascii="宋体" w:eastAsia="宋体"/>
          <w:sz w:val="44"/>
          <w:szCs w:val="44"/>
        </w:rPr>
      </w:pPr>
    </w:p>
    <w:p w14:paraId="2C0E2CAB">
      <w:pPr>
        <w:spacing w:after="0" w:line="240" w:lineRule="auto"/>
        <w:rPr>
          <w:rFonts w:ascii="宋体" w:eastAsia="宋体"/>
          <w:sz w:val="44"/>
          <w:szCs w:val="44"/>
        </w:rPr>
      </w:pPr>
    </w:p>
    <w:p w14:paraId="12EE5CD5">
      <w:pPr>
        <w:spacing w:after="0" w:line="240" w:lineRule="auto"/>
        <w:rPr>
          <w:rFonts w:ascii="宋体" w:eastAsia="宋体"/>
          <w:sz w:val="44"/>
          <w:szCs w:val="44"/>
        </w:rPr>
      </w:pPr>
    </w:p>
    <w:p w14:paraId="2FEC701D">
      <w:pPr>
        <w:spacing w:after="0" w:line="240" w:lineRule="auto"/>
        <w:jc w:val="center"/>
        <w:outlineLvl w:val="0"/>
        <w:rPr>
          <w:rFonts w:ascii="宋体" w:eastAsia="黑体"/>
          <w:sz w:val="44"/>
          <w:szCs w:val="44"/>
          <w:lang w:eastAsia="zh-CN"/>
        </w:rPr>
      </w:pPr>
      <w:r>
        <w:rPr>
          <w:rFonts w:ascii="宋体" w:eastAsia="黑体"/>
          <w:sz w:val="44"/>
          <w:szCs w:val="44"/>
          <w:lang w:eastAsia="zh-CN"/>
        </w:rPr>
        <w:t>新疆畜牧科学院（本级）</w:t>
      </w:r>
    </w:p>
    <w:p w14:paraId="4EB3A250">
      <w:pPr>
        <w:spacing w:after="0" w:line="240" w:lineRule="auto"/>
        <w:jc w:val="center"/>
        <w:outlineLvl w:val="0"/>
        <w:rPr>
          <w:rFonts w:ascii="黑体" w:eastAsia="黑体"/>
          <w:sz w:val="44"/>
          <w:szCs w:val="44"/>
          <w:lang w:eastAsia="zh-CN"/>
        </w:rPr>
      </w:pPr>
      <w:r>
        <w:rPr>
          <w:rFonts w:ascii="黑体" w:eastAsia="黑体"/>
          <w:sz w:val="44"/>
          <w:szCs w:val="44"/>
          <w:lang w:eastAsia="zh-CN"/>
        </w:rPr>
        <w:t>2025年度部门决算公开说明</w:t>
      </w:r>
    </w:p>
    <w:p w14:paraId="503E5C4F">
      <w:pPr>
        <w:rPr>
          <w:lang w:eastAsia="zh-CN"/>
        </w:rPr>
      </w:pPr>
      <w:r>
        <w:rPr>
          <w:sz w:val="0"/>
          <w:szCs w:val="0"/>
          <w:lang w:eastAsia="zh-CN"/>
        </w:rPr>
        <w:br w:type="page"/>
      </w:r>
    </w:p>
    <w:p w14:paraId="178BBB90">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65543051">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033A106">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3E093D1">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14:paraId="6DBB1DAE">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A880E3E">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F36210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27969A8">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2574C57">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30E549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83C9553">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5A0BF8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2EAFA11">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AACE9F6">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F60C243">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E40C5BE">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55E61A2">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7345275">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48E5ADAC">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B307149">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974833F">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A500781">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6288D3D">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6D49979">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32F0357A">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4426D4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771CB7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3F82F83">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CC8D77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2E4631D">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7EE1D06">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38EF4B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2143ABB">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CC2EB8B">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94D9AF9">
      <w:pPr>
        <w:rPr>
          <w:lang w:eastAsia="zh-CN"/>
        </w:rPr>
      </w:pPr>
      <w:r>
        <w:rPr>
          <w:sz w:val="0"/>
          <w:szCs w:val="0"/>
          <w:lang w:eastAsia="zh-CN"/>
        </w:rPr>
        <w:br w:type="page"/>
      </w:r>
    </w:p>
    <w:p w14:paraId="0001EB8F">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4F5814E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041E874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新疆畜牧科学院主要负责和管理全院科研计划和科技创新体系的建设；参与自治区有关畜牧科技和重大项目的规划和实施，组织各业务部门开展国家科技计划、国家重大科技专项、</w:t>
      </w:r>
      <w:r>
        <w:rPr>
          <w:rFonts w:hint="eastAsia" w:ascii="仿宋_GB2312" w:eastAsia="仿宋_GB2312"/>
          <w:sz w:val="32"/>
          <w:szCs w:val="32"/>
          <w:lang w:eastAsia="zh-CN"/>
        </w:rPr>
        <w:t>农业农村部</w:t>
      </w:r>
      <w:r>
        <w:rPr>
          <w:rFonts w:ascii="仿宋_GB2312" w:eastAsia="仿宋_GB2312"/>
          <w:sz w:val="32"/>
          <w:szCs w:val="32"/>
          <w:lang w:eastAsia="zh-CN"/>
        </w:rPr>
        <w:t>公益性行业科研专项、自治区科技计划以及其他成果转化、技术推广和技术服务项目的申报、立项、实施和成果鉴定；协调本院与国家科技部、</w:t>
      </w:r>
      <w:r>
        <w:rPr>
          <w:rFonts w:hint="eastAsia" w:ascii="仿宋_GB2312" w:eastAsia="仿宋_GB2312"/>
          <w:sz w:val="32"/>
          <w:szCs w:val="32"/>
          <w:lang w:eastAsia="zh-CN"/>
        </w:rPr>
        <w:t>农业农村部</w:t>
      </w:r>
      <w:r>
        <w:rPr>
          <w:rFonts w:ascii="仿宋_GB2312" w:eastAsia="仿宋_GB2312"/>
          <w:sz w:val="32"/>
          <w:szCs w:val="32"/>
          <w:lang w:eastAsia="zh-CN"/>
        </w:rPr>
        <w:t>有关司局及自治区有关部门的业务关系；组织科技人员开展学术交流和学术活动。</w:t>
      </w:r>
    </w:p>
    <w:p w14:paraId="62C112C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02C6C4F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新疆畜牧科学院（本级）无下属预算单位。</w:t>
      </w:r>
    </w:p>
    <w:p w14:paraId="56617EF9">
      <w:pPr>
        <w:rPr>
          <w:lang w:eastAsia="zh-CN"/>
        </w:rPr>
      </w:pPr>
      <w:r>
        <w:rPr>
          <w:sz w:val="0"/>
          <w:szCs w:val="0"/>
          <w:lang w:eastAsia="zh-CN"/>
        </w:rPr>
        <w:br w:type="page"/>
      </w:r>
    </w:p>
    <w:p w14:paraId="69BBF2CD">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12D6043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573D84B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2025年度收入总计8,408.14万元，其中：本年收入合计6,413.69万元，使用非财政拨款结余（含专用结余）56.36万元，年初结转和结余1,938.10万元。</w:t>
      </w:r>
    </w:p>
    <w:p w14:paraId="5929738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2025年度支出总计8,408.14万元，其中：本年支出合计5,353.14万元，结余分配871.98万元，年末结转和结余2,183.02万元。</w:t>
      </w:r>
    </w:p>
    <w:p w14:paraId="21238F4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收入支出总体与上年相比，增加2,282.23万元，增长37.26%，主要原因是：《新疆人才发展基金2025年度第二轮支持资金—“揭榜挂帅”招才引智计划》等科研经费</w:t>
      </w:r>
      <w:r>
        <w:rPr>
          <w:rFonts w:hint="eastAsia" w:ascii="仿宋_GB2312" w:eastAsia="仿宋_GB2312"/>
          <w:sz w:val="32"/>
          <w:szCs w:val="32"/>
          <w:lang w:eastAsia="zh-CN"/>
        </w:rPr>
        <w:t>增加</w:t>
      </w:r>
      <w:r>
        <w:rPr>
          <w:rFonts w:ascii="仿宋_GB2312" w:eastAsia="仿宋_GB2312"/>
          <w:sz w:val="32"/>
          <w:szCs w:val="32"/>
          <w:lang w:eastAsia="zh-CN"/>
        </w:rPr>
        <w:t>，</w:t>
      </w:r>
      <w:r>
        <w:rPr>
          <w:rFonts w:hint="eastAsia" w:ascii="仿宋_GB2312" w:eastAsia="仿宋_GB2312"/>
          <w:sz w:val="32"/>
          <w:szCs w:val="32"/>
          <w:lang w:eastAsia="zh-CN"/>
        </w:rPr>
        <w:t>故收入</w:t>
      </w:r>
      <w:r>
        <w:rPr>
          <w:rFonts w:ascii="仿宋_GB2312" w:eastAsia="仿宋_GB2312"/>
          <w:sz w:val="32"/>
          <w:szCs w:val="32"/>
          <w:lang w:eastAsia="zh-CN"/>
        </w:rPr>
        <w:t>较上年增加。</w:t>
      </w:r>
    </w:p>
    <w:p w14:paraId="596C6F9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42AADF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6,413.69万元，其中：财政拨款收入3,544.32万元,占55.26%；上级补助收入0.00万元,占0.00%；事业收入2.47万元，占0.04%；经营收入0.00万元,占0.00%；附属单位上缴收入0.00万元，占0.00%；其他收入2,866.90万元，占44.70%。</w:t>
      </w:r>
    </w:p>
    <w:p w14:paraId="52FABF4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0C7BE0B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本年支出5,353.14万元，其中：基本支出1,906.83万元，占35.62%；项目支出3,446.31万元，占64.38%；上缴上级支出0.00万元，占0.00%；经营支出0.00万元，占0.00%；对附属单位补助支出0.00万元，占0.00%。</w:t>
      </w:r>
    </w:p>
    <w:p w14:paraId="1609BBB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332090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3,544.32万元，其中：年初财政拨款结转和结余0.00万元，本年财政拨款收入3,544.32万元。财政拨款支出总计3,544.32万元，其中：年末财政拨款结转和结余0.00万元，本年财政拨款支出3,544.32万元。</w:t>
      </w:r>
    </w:p>
    <w:p w14:paraId="0A2CEB1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财政拨款收入支出总体与上年相比，增加1,438.85万元，增长68.34%，主要原因是：</w:t>
      </w:r>
      <w:r>
        <w:rPr>
          <w:rFonts w:hint="eastAsia" w:ascii="仿宋_GB2312" w:eastAsia="仿宋_GB2312"/>
          <w:sz w:val="32"/>
          <w:szCs w:val="32"/>
          <w:lang w:eastAsia="zh-CN"/>
        </w:rPr>
        <w:t>本年</w:t>
      </w:r>
      <w:r>
        <w:rPr>
          <w:rFonts w:ascii="仿宋_GB2312" w:eastAsia="仿宋_GB2312"/>
          <w:sz w:val="32"/>
          <w:szCs w:val="32"/>
          <w:lang w:eastAsia="zh-CN"/>
        </w:rPr>
        <w:t>新疆人才发展基金等项目经费较上年增加</w:t>
      </w:r>
      <w:r>
        <w:rPr>
          <w:rFonts w:hint="eastAsia" w:ascii="仿宋_GB2312" w:eastAsia="仿宋_GB2312"/>
          <w:sz w:val="32"/>
          <w:szCs w:val="32"/>
          <w:lang w:eastAsia="zh-CN"/>
        </w:rPr>
        <w:t>；本年</w:t>
      </w:r>
      <w:r>
        <w:rPr>
          <w:rFonts w:ascii="仿宋_GB2312" w:eastAsia="仿宋_GB2312"/>
          <w:sz w:val="32"/>
          <w:szCs w:val="32"/>
          <w:lang w:eastAsia="zh-CN"/>
        </w:rPr>
        <w:t>新增《地方国有农牧场农村税改革转移支付资金》。与年初预算相比，年初预算数2,035.82万元，决算数3,544.32万元，预决算差异率74.10%，主要原因是：</w:t>
      </w:r>
      <w:r>
        <w:rPr>
          <w:rFonts w:hint="eastAsia" w:ascii="仿宋_GB2312" w:eastAsia="仿宋_GB2312"/>
          <w:sz w:val="32"/>
          <w:szCs w:val="32"/>
          <w:lang w:eastAsia="zh-CN"/>
        </w:rPr>
        <w:t>年中追加人员工资、社保、公积金基数调增部分资金及做实</w:t>
      </w:r>
      <w:r>
        <w:rPr>
          <w:rFonts w:ascii="仿宋_GB2312" w:eastAsia="仿宋_GB2312"/>
          <w:sz w:val="32"/>
          <w:szCs w:val="32"/>
          <w:lang w:eastAsia="zh-CN"/>
        </w:rPr>
        <w:t>2025年职业年金</w:t>
      </w:r>
      <w:r>
        <w:rPr>
          <w:rFonts w:hint="eastAsia" w:ascii="仿宋_GB2312" w:eastAsia="仿宋_GB2312"/>
          <w:sz w:val="32"/>
          <w:szCs w:val="32"/>
          <w:lang w:eastAsia="zh-CN"/>
        </w:rPr>
        <w:t>，导致预决算存在差异；年中追加</w:t>
      </w:r>
      <w:r>
        <w:rPr>
          <w:rFonts w:ascii="仿宋_GB2312" w:eastAsia="仿宋_GB2312"/>
          <w:sz w:val="32"/>
          <w:szCs w:val="32"/>
          <w:lang w:eastAsia="zh-CN"/>
        </w:rPr>
        <w:t>新疆人才发展基金等项目</w:t>
      </w:r>
      <w:r>
        <w:rPr>
          <w:rFonts w:hint="eastAsia" w:ascii="仿宋_GB2312" w:eastAsia="仿宋_GB2312"/>
          <w:sz w:val="32"/>
          <w:szCs w:val="32"/>
          <w:lang w:eastAsia="zh-CN"/>
        </w:rPr>
        <w:t>，导致预决算存在差异</w:t>
      </w:r>
      <w:r>
        <w:rPr>
          <w:rFonts w:ascii="仿宋_GB2312" w:eastAsia="仿宋_GB2312"/>
          <w:sz w:val="32"/>
          <w:szCs w:val="32"/>
          <w:lang w:eastAsia="zh-CN"/>
        </w:rPr>
        <w:t>。</w:t>
      </w:r>
    </w:p>
    <w:p w14:paraId="699E632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3A6D23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基本运转、科研保障、重点项目等重点支出，体现在有关支出科目中。</w:t>
      </w:r>
    </w:p>
    <w:p w14:paraId="7173B5A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支出功能分类，科学技术支出（类）应用研究（款）机构运行（项）的支出占本年财政拨款支出总额的比重最高，2025年度决算数为1,906.83万元，占比53.80%，主要用于基本工资、津贴补贴、奖金、绩效工资、机关事业单位基本养老保险缴费、职业年金缴费、职工基本医疗保险缴费、公务员医疗补助缴费、其他社会保障缴费、住房公积金、医疗费、其他工资福利支出、离休费、退休费、抚恤金、生活补助和其他对个人和家庭的补助、办公费、印刷费、手续费、水费、电费、邮电费、取暖费、物业管理费、差旅费、维修（护）费、专用材料费、劳务费、委托业务费、工会经费、福利费、公务用车运行维护费、其他交通费用和其他商品和服务支出。</w:t>
      </w:r>
    </w:p>
    <w:p w14:paraId="6CA09AF5">
      <w:pPr>
        <w:spacing w:after="0" w:line="240" w:lineRule="auto"/>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1E9D5C4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2025年度一般公共预算财政拨款支出3,544.32万元，占本年支出合计的66.21%。与上年相比，增加1,438.85万元，增长68.34%，主要原因是：</w:t>
      </w:r>
      <w:r>
        <w:rPr>
          <w:rFonts w:hint="eastAsia" w:ascii="仿宋_GB2312" w:eastAsia="仿宋_GB2312"/>
          <w:sz w:val="32"/>
          <w:szCs w:val="32"/>
          <w:lang w:eastAsia="zh-CN"/>
        </w:rPr>
        <w:t>本年</w:t>
      </w:r>
      <w:r>
        <w:rPr>
          <w:rFonts w:ascii="仿宋_GB2312" w:eastAsia="仿宋_GB2312"/>
          <w:sz w:val="32"/>
          <w:szCs w:val="32"/>
          <w:lang w:eastAsia="zh-CN"/>
        </w:rPr>
        <w:t>新疆人才发展基金等项目经费较上年增加</w:t>
      </w:r>
      <w:r>
        <w:rPr>
          <w:rFonts w:hint="eastAsia" w:ascii="仿宋_GB2312" w:eastAsia="仿宋_GB2312"/>
          <w:sz w:val="32"/>
          <w:szCs w:val="32"/>
          <w:lang w:eastAsia="zh-CN"/>
        </w:rPr>
        <w:t>；本年</w:t>
      </w:r>
      <w:r>
        <w:rPr>
          <w:rFonts w:ascii="仿宋_GB2312" w:eastAsia="仿宋_GB2312"/>
          <w:sz w:val="32"/>
          <w:szCs w:val="32"/>
          <w:lang w:eastAsia="zh-CN"/>
        </w:rPr>
        <w:t>新增《地方国有农牧场农村税改革转移支付资金》。与年初预算相比，年初预算数2,035.82万元，决算数3,544.32万元，预决算差异率74.10%，主要原因是：</w:t>
      </w:r>
      <w:r>
        <w:rPr>
          <w:rFonts w:hint="eastAsia" w:ascii="仿宋_GB2312" w:eastAsia="仿宋_GB2312"/>
          <w:sz w:val="32"/>
          <w:szCs w:val="32"/>
          <w:lang w:eastAsia="zh-CN"/>
        </w:rPr>
        <w:t>年中追加人员工资、社保、公积金基数调增部分资金及做实</w:t>
      </w:r>
      <w:r>
        <w:rPr>
          <w:rFonts w:ascii="仿宋_GB2312" w:eastAsia="仿宋_GB2312"/>
          <w:sz w:val="32"/>
          <w:szCs w:val="32"/>
          <w:lang w:eastAsia="zh-CN"/>
        </w:rPr>
        <w:t>2025年职业年金</w:t>
      </w:r>
      <w:r>
        <w:rPr>
          <w:rFonts w:hint="eastAsia" w:ascii="仿宋_GB2312" w:eastAsia="仿宋_GB2312"/>
          <w:sz w:val="32"/>
          <w:szCs w:val="32"/>
          <w:lang w:eastAsia="zh-CN"/>
        </w:rPr>
        <w:t>，导致预决算存在差异；年中追加</w:t>
      </w:r>
      <w:r>
        <w:rPr>
          <w:rFonts w:ascii="仿宋_GB2312" w:eastAsia="仿宋_GB2312"/>
          <w:sz w:val="32"/>
          <w:szCs w:val="32"/>
          <w:lang w:eastAsia="zh-CN"/>
        </w:rPr>
        <w:t>新疆人才发展基金等项目</w:t>
      </w:r>
      <w:r>
        <w:rPr>
          <w:rFonts w:hint="eastAsia" w:ascii="仿宋_GB2312" w:eastAsia="仿宋_GB2312"/>
          <w:sz w:val="32"/>
          <w:szCs w:val="32"/>
          <w:lang w:eastAsia="zh-CN"/>
        </w:rPr>
        <w:t>，导致预决算存在差异</w:t>
      </w:r>
      <w:r>
        <w:rPr>
          <w:rFonts w:ascii="仿宋_GB2312" w:eastAsia="仿宋_GB2312"/>
          <w:sz w:val="32"/>
          <w:szCs w:val="32"/>
          <w:lang w:eastAsia="zh-CN"/>
        </w:rPr>
        <w:t>。</w:t>
      </w:r>
    </w:p>
    <w:p w14:paraId="04B6C140">
      <w:pPr>
        <w:spacing w:after="0" w:line="240" w:lineRule="auto"/>
        <w:ind w:firstLine="640" w:firstLineChars="200"/>
        <w:jc w:val="both"/>
        <w:rPr>
          <w:rFonts w:ascii="仿宋_GB2312" w:eastAsia="仿宋_GB2312"/>
          <w:sz w:val="32"/>
          <w:szCs w:val="32"/>
          <w:lang w:eastAsia="zh-CN"/>
        </w:rPr>
      </w:pPr>
    </w:p>
    <w:p w14:paraId="256D8E6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50EF0D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1.科学技术支出（类）2,513.80万元，占70.92%。</w:t>
      </w:r>
    </w:p>
    <w:p w14:paraId="630E62C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2.社会保障和就业支出（类）377.00万元，占10.64%。</w:t>
      </w:r>
    </w:p>
    <w:p w14:paraId="46C7449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3.农林水支出（类）653.52万元，占18.44%。</w:t>
      </w:r>
    </w:p>
    <w:p w14:paraId="572C16F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F01C99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1.科学技术支出（类）基础研究（款）科技人才队伍建设（项）：支出决算数为547.00万元，比上年决算增加338.11万元，增长161.86%，主要原因是：</w:t>
      </w:r>
      <w:r>
        <w:rPr>
          <w:rFonts w:hint="eastAsia" w:ascii="仿宋_GB2312" w:eastAsia="仿宋_GB2312"/>
          <w:sz w:val="32"/>
          <w:szCs w:val="32"/>
          <w:lang w:eastAsia="zh-CN"/>
        </w:rPr>
        <w:t>本年增加《</w:t>
      </w:r>
      <w:r>
        <w:rPr>
          <w:rFonts w:ascii="仿宋_GB2312" w:eastAsia="仿宋_GB2312"/>
          <w:sz w:val="32"/>
          <w:szCs w:val="32"/>
          <w:lang w:eastAsia="zh-CN"/>
        </w:rPr>
        <w:t>新疆人才发展基金2025年度第二轮支持资金—“揭榜挂帅”招才引智计划</w:t>
      </w:r>
      <w:r>
        <w:rPr>
          <w:rFonts w:hint="eastAsia" w:ascii="仿宋_GB2312" w:eastAsia="仿宋_GB2312"/>
          <w:sz w:val="32"/>
          <w:szCs w:val="32"/>
          <w:lang w:eastAsia="zh-CN"/>
        </w:rPr>
        <w:t>》</w:t>
      </w:r>
      <w:r>
        <w:rPr>
          <w:rFonts w:ascii="仿宋_GB2312" w:eastAsia="仿宋_GB2312"/>
          <w:sz w:val="32"/>
          <w:szCs w:val="32"/>
          <w:lang w:eastAsia="zh-CN"/>
        </w:rPr>
        <w:t>、</w:t>
      </w:r>
      <w:r>
        <w:rPr>
          <w:rFonts w:hint="eastAsia" w:ascii="仿宋_GB2312" w:eastAsia="仿宋_GB2312"/>
          <w:sz w:val="32"/>
          <w:szCs w:val="32"/>
          <w:lang w:eastAsia="zh-CN"/>
        </w:rPr>
        <w:t>本年</w:t>
      </w:r>
      <w:r>
        <w:rPr>
          <w:rFonts w:ascii="仿宋_GB2312" w:eastAsia="仿宋_GB2312"/>
          <w:sz w:val="32"/>
          <w:szCs w:val="32"/>
          <w:lang w:eastAsia="zh-CN"/>
        </w:rPr>
        <w:t>新疆人才发展基金2025年度支持资金—天山英才培养计划</w:t>
      </w:r>
      <w:r>
        <w:rPr>
          <w:rFonts w:hint="eastAsia" w:ascii="仿宋_GB2312" w:eastAsia="仿宋_GB2312"/>
          <w:sz w:val="32"/>
          <w:szCs w:val="32"/>
          <w:lang w:eastAsia="zh-CN"/>
        </w:rPr>
        <w:t>、</w:t>
      </w:r>
      <w:r>
        <w:rPr>
          <w:rFonts w:ascii="仿宋_GB2312" w:eastAsia="仿宋_GB2312"/>
          <w:sz w:val="32"/>
          <w:szCs w:val="32"/>
          <w:lang w:eastAsia="zh-CN"/>
        </w:rPr>
        <w:t>新疆人才发展基金2025年度第二轮支持资金—天池英才引进计划</w:t>
      </w:r>
      <w:r>
        <w:rPr>
          <w:rFonts w:hint="eastAsia" w:ascii="仿宋_GB2312" w:eastAsia="仿宋_GB2312"/>
          <w:sz w:val="32"/>
          <w:szCs w:val="32"/>
          <w:lang w:eastAsia="zh-CN"/>
        </w:rPr>
        <w:t>项目资金</w:t>
      </w:r>
      <w:r>
        <w:rPr>
          <w:rFonts w:ascii="仿宋_GB2312" w:eastAsia="仿宋_GB2312"/>
          <w:sz w:val="32"/>
          <w:szCs w:val="32"/>
          <w:lang w:eastAsia="zh-CN"/>
        </w:rPr>
        <w:t>。</w:t>
      </w:r>
    </w:p>
    <w:p w14:paraId="15A0967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eastAsia="zh-CN"/>
        </w:rPr>
        <w:t>.</w:t>
      </w:r>
      <w:r>
        <w:rPr>
          <w:rFonts w:ascii="仿宋_GB2312" w:eastAsia="仿宋_GB2312"/>
          <w:sz w:val="32"/>
          <w:szCs w:val="32"/>
          <w:lang w:eastAsia="zh-CN"/>
        </w:rPr>
        <w:t>科学技术支出（类）应用研究（款）机构运行（项）：支出决算数为1,906.83万元，比上年决算增加196.68万元，增长11.50%，主要原因是：</w:t>
      </w:r>
      <w:r>
        <w:rPr>
          <w:rFonts w:hint="eastAsia" w:ascii="仿宋_GB2312" w:eastAsia="仿宋_GB2312"/>
          <w:sz w:val="32"/>
          <w:szCs w:val="32"/>
          <w:lang w:eastAsia="zh-CN"/>
        </w:rPr>
        <w:t>一是本年在职人员工资调增，社保、公积金基数调增，人员经费增加；二是根据政策要求，本年在职人员职业年金做实，职业年金缴费较上年增加；三是本年去世人员较多，抚恤金较上年增加</w:t>
      </w:r>
      <w:r>
        <w:rPr>
          <w:rFonts w:ascii="仿宋_GB2312" w:eastAsia="仿宋_GB2312"/>
          <w:sz w:val="32"/>
          <w:szCs w:val="32"/>
          <w:lang w:eastAsia="zh-CN"/>
        </w:rPr>
        <w:t>。</w:t>
      </w:r>
    </w:p>
    <w:p w14:paraId="59A0EAB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eastAsia="zh-CN"/>
        </w:rPr>
        <w:t>.</w:t>
      </w:r>
      <w:r>
        <w:rPr>
          <w:rFonts w:ascii="仿宋_GB2312" w:eastAsia="仿宋_GB2312"/>
          <w:sz w:val="32"/>
          <w:szCs w:val="32"/>
          <w:lang w:eastAsia="zh-CN"/>
        </w:rPr>
        <w:t>科学技术支出（类）科技条件与服务（款）其他科技条件与服务支出（项）：支出决算数为59.97万元，比上年决算增加53.54万元，增长832.66%，主要原因是：2025年</w:t>
      </w:r>
      <w:r>
        <w:rPr>
          <w:rFonts w:hint="eastAsia" w:ascii="仿宋_GB2312" w:eastAsia="仿宋_GB2312"/>
          <w:sz w:val="32"/>
          <w:szCs w:val="32"/>
          <w:lang w:eastAsia="zh-CN"/>
        </w:rPr>
        <w:t>本单位</w:t>
      </w:r>
      <w:r>
        <w:rPr>
          <w:rFonts w:ascii="仿宋_GB2312" w:eastAsia="仿宋_GB2312"/>
          <w:sz w:val="32"/>
          <w:szCs w:val="32"/>
          <w:lang w:eastAsia="zh-CN"/>
        </w:rPr>
        <w:t>“三区”科技人才人数增加，经费增加，所以相比上年决算增加。</w:t>
      </w:r>
    </w:p>
    <w:p w14:paraId="12167BF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eastAsia="zh-CN"/>
        </w:rPr>
        <w:t>.</w:t>
      </w:r>
      <w:r>
        <w:rPr>
          <w:rFonts w:ascii="仿宋_GB2312" w:eastAsia="仿宋_GB2312"/>
          <w:sz w:val="32"/>
          <w:szCs w:val="32"/>
          <w:lang w:eastAsia="zh-CN"/>
        </w:rPr>
        <w:t>社会保障和就业支出（类）人力资源和社会保障管理事务（款）其他人力资源和社会保障管理事务支出（项）：支出决算数为377.00万元，比上年决算增加377.00万元，增长100.00%，主要原因是：2025年新增《新疆人才发展基金2025年度第一轮支持资金—天池英才引进计划》，所以相比上年决算增加。</w:t>
      </w:r>
    </w:p>
    <w:p w14:paraId="773BAEA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eastAsia="zh-CN"/>
        </w:rPr>
        <w:t>.</w:t>
      </w:r>
      <w:r>
        <w:rPr>
          <w:rFonts w:ascii="仿宋_GB2312" w:eastAsia="仿宋_GB2312"/>
          <w:sz w:val="32"/>
          <w:szCs w:val="32"/>
          <w:lang w:eastAsia="zh-CN"/>
        </w:rPr>
        <w:t>农林水支出（类）农业农村（款）科技转化与推广服务（项）：支出决算数为48.52万元，比上年决算减少1.48万元，下降2.96%，主要原因是：</w:t>
      </w:r>
      <w:r>
        <w:rPr>
          <w:rFonts w:hint="eastAsia" w:ascii="仿宋_GB2312" w:eastAsia="仿宋_GB2312"/>
          <w:sz w:val="32"/>
          <w:szCs w:val="32"/>
          <w:lang w:eastAsia="zh-CN"/>
        </w:rPr>
        <w:t>本年增加</w:t>
      </w:r>
      <w:r>
        <w:rPr>
          <w:rFonts w:ascii="仿宋_GB2312" w:eastAsia="仿宋_GB2312"/>
          <w:sz w:val="32"/>
          <w:szCs w:val="32"/>
          <w:lang w:eastAsia="zh-CN"/>
        </w:rPr>
        <w:t>新疆人才发展基金2025年度第二轮支持资金—</w:t>
      </w:r>
      <w:r>
        <w:rPr>
          <w:rFonts w:hint="eastAsia" w:ascii="仿宋_GB2312" w:eastAsia="仿宋_GB2312"/>
          <w:sz w:val="32"/>
          <w:szCs w:val="32"/>
          <w:lang w:eastAsia="zh-CN"/>
        </w:rPr>
        <w:t>“</w:t>
      </w:r>
      <w:r>
        <w:rPr>
          <w:rFonts w:ascii="仿宋_GB2312" w:eastAsia="仿宋_GB2312"/>
          <w:sz w:val="32"/>
          <w:szCs w:val="32"/>
          <w:lang w:eastAsia="zh-CN"/>
        </w:rPr>
        <w:t>揭榜挂帅</w:t>
      </w:r>
      <w:r>
        <w:rPr>
          <w:rFonts w:hint="eastAsia" w:ascii="仿宋_GB2312" w:eastAsia="仿宋_GB2312"/>
          <w:sz w:val="32"/>
          <w:szCs w:val="32"/>
          <w:lang w:eastAsia="zh-CN"/>
        </w:rPr>
        <w:t>”</w:t>
      </w:r>
      <w:r>
        <w:rPr>
          <w:rFonts w:ascii="仿宋_GB2312" w:eastAsia="仿宋_GB2312"/>
          <w:sz w:val="32"/>
          <w:szCs w:val="32"/>
          <w:lang w:eastAsia="zh-CN"/>
        </w:rPr>
        <w:t>招才引智计划、</w:t>
      </w:r>
      <w:r>
        <w:rPr>
          <w:rFonts w:hint="eastAsia" w:ascii="仿宋_GB2312" w:eastAsia="仿宋_GB2312"/>
          <w:sz w:val="32"/>
          <w:szCs w:val="32"/>
          <w:lang w:eastAsia="zh-CN"/>
        </w:rPr>
        <w:t>本年</w:t>
      </w:r>
      <w:r>
        <w:rPr>
          <w:rFonts w:ascii="仿宋_GB2312" w:eastAsia="仿宋_GB2312"/>
          <w:sz w:val="32"/>
          <w:szCs w:val="32"/>
          <w:lang w:eastAsia="zh-CN"/>
        </w:rPr>
        <w:t>新疆人才发展基金2025年度支持资金—天山英才培养计划、新疆人才发展基金2025年度第二轮支持资金—天池英才引进计划</w:t>
      </w:r>
      <w:r>
        <w:rPr>
          <w:rFonts w:hint="eastAsia" w:ascii="仿宋_GB2312" w:eastAsia="仿宋_GB2312"/>
          <w:sz w:val="32"/>
          <w:szCs w:val="32"/>
          <w:lang w:eastAsia="zh-CN"/>
        </w:rPr>
        <w:t>项目资金。</w:t>
      </w:r>
    </w:p>
    <w:p w14:paraId="0254D04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eastAsia="zh-CN"/>
        </w:rPr>
        <w:t>.</w:t>
      </w:r>
      <w:r>
        <w:rPr>
          <w:rFonts w:ascii="仿宋_GB2312" w:eastAsia="仿宋_GB2312"/>
          <w:sz w:val="32"/>
          <w:szCs w:val="32"/>
          <w:lang w:eastAsia="zh-CN"/>
        </w:rPr>
        <w:t>农林水支出（类）农业农村（款）防灾救灾（项）：支出决算数为25.00万元，比上年决算减少5.00万元，下降16.67%，主要原因是：中央农业防灾减灾和水利救灾资金</w:t>
      </w:r>
      <w:r>
        <w:rPr>
          <w:rFonts w:hint="eastAsia" w:ascii="仿宋_GB2312" w:eastAsia="仿宋_GB2312"/>
          <w:sz w:val="32"/>
          <w:szCs w:val="32"/>
          <w:lang w:eastAsia="zh-CN"/>
        </w:rPr>
        <w:t>本年较上年减少</w:t>
      </w:r>
      <w:r>
        <w:rPr>
          <w:rFonts w:ascii="仿宋_GB2312" w:eastAsia="仿宋_GB2312"/>
          <w:sz w:val="32"/>
          <w:szCs w:val="32"/>
          <w:lang w:eastAsia="zh-CN"/>
        </w:rPr>
        <w:t>。</w:t>
      </w:r>
    </w:p>
    <w:p w14:paraId="75DF67F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eastAsia="zh-CN"/>
        </w:rPr>
        <w:t>.</w:t>
      </w:r>
      <w:r>
        <w:rPr>
          <w:rFonts w:ascii="仿宋_GB2312" w:eastAsia="仿宋_GB2312"/>
          <w:sz w:val="32"/>
          <w:szCs w:val="32"/>
          <w:lang w:eastAsia="zh-CN"/>
        </w:rPr>
        <w:t>农林水支出（类）农业农村（款）农业生产发展（项）：支出决算数为400.00万元，比上年决算增加400.00万元，增长100.00%，主要原因是：新增2025年高产长寿奶牛育种核心群建立与关键技术示范与推广、肉牛肉羊减抗增效轻简化技术集成创新与示范推广</w:t>
      </w:r>
      <w:r>
        <w:rPr>
          <w:rFonts w:hint="eastAsia" w:ascii="仿宋_GB2312" w:eastAsia="仿宋_GB2312"/>
          <w:sz w:val="32"/>
          <w:szCs w:val="32"/>
          <w:lang w:eastAsia="zh-CN"/>
        </w:rPr>
        <w:t>项目资金</w:t>
      </w:r>
      <w:r>
        <w:rPr>
          <w:rFonts w:ascii="仿宋_GB2312" w:eastAsia="仿宋_GB2312"/>
          <w:sz w:val="32"/>
          <w:szCs w:val="32"/>
          <w:lang w:eastAsia="zh-CN"/>
        </w:rPr>
        <w:t>。</w:t>
      </w:r>
    </w:p>
    <w:p w14:paraId="1B7CC7E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w:t>
      </w:r>
      <w:r>
        <w:rPr>
          <w:rFonts w:hint="eastAsia" w:ascii="仿宋_GB2312" w:eastAsia="仿宋_GB2312"/>
          <w:sz w:val="32"/>
          <w:szCs w:val="32"/>
          <w:lang w:eastAsia="zh-CN"/>
        </w:rPr>
        <w:t>.</w:t>
      </w:r>
      <w:r>
        <w:rPr>
          <w:rFonts w:ascii="仿宋_GB2312" w:eastAsia="仿宋_GB2312"/>
          <w:sz w:val="32"/>
          <w:szCs w:val="32"/>
          <w:lang w:eastAsia="zh-CN"/>
        </w:rPr>
        <w:t>农林水支出（类）农业农村（款）农业生态资源保护（项）：支出决算数为0.00万元，比上年决算减少100.00万元，下降100.00%，主要原因是：</w:t>
      </w:r>
      <w:r>
        <w:rPr>
          <w:rFonts w:hint="eastAsia" w:ascii="仿宋_GB2312" w:eastAsia="仿宋_GB2312"/>
          <w:sz w:val="32"/>
          <w:szCs w:val="32"/>
          <w:lang w:eastAsia="zh-CN"/>
        </w:rPr>
        <w:t>本年减少</w:t>
      </w:r>
      <w:r>
        <w:rPr>
          <w:rFonts w:ascii="仿宋_GB2312" w:eastAsia="仿宋_GB2312"/>
          <w:sz w:val="32"/>
          <w:szCs w:val="32"/>
          <w:lang w:eastAsia="zh-CN"/>
        </w:rPr>
        <w:t>南疆多胎（多羔）绵羊育种创新项目。</w:t>
      </w:r>
    </w:p>
    <w:p w14:paraId="4071382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w:t>
      </w:r>
      <w:r>
        <w:rPr>
          <w:rFonts w:hint="eastAsia" w:ascii="仿宋_GB2312" w:eastAsia="仿宋_GB2312"/>
          <w:sz w:val="32"/>
          <w:szCs w:val="32"/>
          <w:lang w:eastAsia="zh-CN"/>
        </w:rPr>
        <w:t>.</w:t>
      </w:r>
      <w:r>
        <w:rPr>
          <w:rFonts w:ascii="仿宋_GB2312" w:eastAsia="仿宋_GB2312"/>
          <w:sz w:val="32"/>
          <w:szCs w:val="32"/>
          <w:lang w:eastAsia="zh-CN"/>
        </w:rPr>
        <w:t>农林水支出（类）农村综合改革（款）其他农村综合改革支出（项）：支出决算数为180.00万元，比上年决算增加180.00万元，增长100.00%，主要原因是：</w:t>
      </w:r>
      <w:r>
        <w:rPr>
          <w:rFonts w:hint="eastAsia" w:ascii="仿宋_GB2312" w:eastAsia="仿宋_GB2312"/>
          <w:sz w:val="32"/>
          <w:szCs w:val="32"/>
          <w:lang w:eastAsia="zh-CN"/>
        </w:rPr>
        <w:t>本年增加</w:t>
      </w:r>
      <w:r>
        <w:rPr>
          <w:rFonts w:ascii="仿宋_GB2312" w:eastAsia="仿宋_GB2312"/>
          <w:sz w:val="32"/>
          <w:szCs w:val="32"/>
          <w:lang w:eastAsia="zh-CN"/>
        </w:rPr>
        <w:t>地方国有农牧场农村税改革转移支付资金。</w:t>
      </w:r>
    </w:p>
    <w:p w14:paraId="449E856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A071C1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1,906.83万元，其中：人员经费1,538.99万元，包括：基本工资、津贴补贴、奖金、绩效工资、机关事业单位基本养老保险缴费、职业年金缴费、职工基本医疗保险缴费、公务员医疗补助缴费、其他社会保障缴费、住房公积金、医疗费、其他工资福利支出、离休费、退休费、抚恤金、生活补助和其他对个人和家庭的补助。</w:t>
      </w:r>
    </w:p>
    <w:p w14:paraId="748F2E7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367.84万元，包括：办公费、印刷费、手续费、水费、电费、邮电费、取暖费、物业管理费、差旅费、维修（护）费、专用材料费、劳务费、委托业务费、工会经费、福利费、公务用车运行维护费、其他交通费用和其他商品和服务支出。</w:t>
      </w:r>
    </w:p>
    <w:p w14:paraId="2FFB266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E6561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B03674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1AB7B6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3CD1A9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4B5EDFB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2025年度财政拨款“三公”经费支出5.36万元，与上年相比无变化，主要原因是：</w:t>
      </w:r>
      <w:r>
        <w:rPr>
          <w:rFonts w:hint="eastAsia" w:ascii="仿宋_GB2312" w:eastAsia="仿宋_GB2312"/>
          <w:sz w:val="32"/>
          <w:szCs w:val="32"/>
          <w:lang w:eastAsia="zh-CN"/>
        </w:rPr>
        <w:t>本单位财政拨款“三公”经费与上年一致无变化</w:t>
      </w:r>
      <w:r>
        <w:rPr>
          <w:rFonts w:ascii="仿宋_GB2312" w:eastAsia="仿宋_GB2312"/>
          <w:sz w:val="32"/>
          <w:szCs w:val="32"/>
          <w:lang w:eastAsia="zh-CN"/>
        </w:rPr>
        <w:t>。其中：因公出国（境）费用支出0.00万元,占0.00%，与上年相比无变化，主要原因是：2024年与2025年均无因公出国（境）费用支出；公务用车购置及运行维护费支出5.36万元，占100.00%，与上年相比无变化，主要原因是：</w:t>
      </w:r>
      <w:r>
        <w:rPr>
          <w:rFonts w:hint="eastAsia" w:ascii="仿宋_GB2312" w:eastAsia="仿宋_GB2312"/>
          <w:sz w:val="32"/>
          <w:szCs w:val="32"/>
          <w:lang w:eastAsia="zh-CN"/>
        </w:rPr>
        <w:t>本单位公务用车购置及运行维护费与上年一致无变化</w:t>
      </w:r>
      <w:r>
        <w:rPr>
          <w:rFonts w:ascii="仿宋_GB2312" w:eastAsia="仿宋_GB2312"/>
          <w:sz w:val="32"/>
          <w:szCs w:val="32"/>
          <w:lang w:eastAsia="zh-CN"/>
        </w:rPr>
        <w:t>；公务接待费支出0.00万元，占0.00%，与上年相比无变化，主要原因是：2024年与2025年均无公务接待费支出。</w:t>
      </w:r>
    </w:p>
    <w:p w14:paraId="401CF5A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6C02EB4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w:t>
      </w:r>
      <w:r>
        <w:rPr>
          <w:rFonts w:hint="eastAsia" w:ascii="仿宋_GB2312" w:eastAsia="仿宋_GB2312"/>
          <w:sz w:val="32"/>
          <w:szCs w:val="32"/>
          <w:lang w:eastAsia="zh-CN"/>
        </w:rPr>
        <w:t>本单位无因公出国（境）费用</w:t>
      </w:r>
      <w:r>
        <w:rPr>
          <w:rFonts w:ascii="仿宋_GB2312" w:eastAsia="仿宋_GB2312"/>
          <w:sz w:val="32"/>
          <w:szCs w:val="32"/>
          <w:lang w:eastAsia="zh-CN"/>
        </w:rPr>
        <w:t>。单位全年安排的因公出国（境）团组0个，因公出国（境）0人次。</w:t>
      </w:r>
    </w:p>
    <w:p w14:paraId="0E81328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5.36万元，其中：公务用车购置费0.00万元，公务用车运行维护费5.36万元。公务用车运行维护费开支内容包括公车燃油费、公车维修费、公车保险费、公车停车过路费、审验费等。公务用车购置数0辆，公务用车保有量8辆。国有资产占用情况中固定资产车辆8辆，与公务用车保有量差异原因是：公务用车保有量与国有资产占用情况中固定资产车辆无差异。</w:t>
      </w:r>
    </w:p>
    <w:p w14:paraId="4D403C4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本单位无公务接待费</w:t>
      </w:r>
      <w:r>
        <w:rPr>
          <w:rFonts w:ascii="仿宋_GB2312" w:eastAsia="仿宋_GB2312"/>
          <w:sz w:val="32"/>
          <w:szCs w:val="32"/>
          <w:lang w:eastAsia="zh-CN"/>
        </w:rPr>
        <w:t>。单位全年安排的国内公务接待0批次，0人次。</w:t>
      </w:r>
    </w:p>
    <w:p w14:paraId="2A2CE6A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与全年预算相比，财政拨款“三公”经费支出全年预算数9.29万元，决算数5.36万元，预决算差异率-42.30%，主要原因是：</w:t>
      </w:r>
      <w:r>
        <w:rPr>
          <w:rFonts w:hint="eastAsia" w:ascii="仿宋_GB2312" w:eastAsia="仿宋_GB2312"/>
          <w:sz w:val="32"/>
          <w:szCs w:val="32"/>
          <w:lang w:eastAsia="zh-CN"/>
        </w:rPr>
        <w:t>严格落实中央八项规定精神，厉行节约，减少经费支出</w:t>
      </w:r>
      <w:r>
        <w:rPr>
          <w:rFonts w:ascii="仿宋_GB2312" w:eastAsia="仿宋_GB2312"/>
          <w:sz w:val="32"/>
          <w:szCs w:val="32"/>
          <w:lang w:eastAsia="zh-CN"/>
        </w:rPr>
        <w:t>。其中：因公出国（境）费用全年预算数0.00万元，决算数0.00万元，预决算差异率0.00%，主要原因是：</w:t>
      </w:r>
      <w:r>
        <w:rPr>
          <w:rFonts w:hint="eastAsia" w:ascii="仿宋_GB2312" w:eastAsia="仿宋_GB2312"/>
          <w:sz w:val="32"/>
          <w:szCs w:val="32"/>
          <w:lang w:eastAsia="zh-CN"/>
        </w:rPr>
        <w:t>本单位无因公出国（境）费用</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本单位无公务用车购置费</w:t>
      </w:r>
      <w:r>
        <w:rPr>
          <w:rFonts w:ascii="仿宋_GB2312" w:eastAsia="仿宋_GB2312"/>
          <w:sz w:val="32"/>
          <w:szCs w:val="32"/>
          <w:lang w:eastAsia="zh-CN"/>
        </w:rPr>
        <w:t>；公务用车运行维护费全年预算数9.10万元，决算数5.36万元，预决算差异率-41.10%，主要原因是：</w:t>
      </w:r>
      <w:r>
        <w:rPr>
          <w:rFonts w:hint="eastAsia" w:ascii="仿宋_GB2312" w:eastAsia="仿宋_GB2312"/>
          <w:sz w:val="32"/>
          <w:szCs w:val="32"/>
          <w:lang w:eastAsia="zh-CN"/>
        </w:rPr>
        <w:t>严格落实中央八项规定精神，厉行节约，减少经费支出</w:t>
      </w:r>
      <w:r>
        <w:rPr>
          <w:rFonts w:ascii="仿宋_GB2312" w:eastAsia="仿宋_GB2312"/>
          <w:sz w:val="32"/>
          <w:szCs w:val="32"/>
          <w:lang w:eastAsia="zh-CN"/>
        </w:rPr>
        <w:t>；公务接待费全年预算数0.19万元，决算数0.00万元，预决算差异率-100.00%，主要原因是：</w:t>
      </w:r>
      <w:r>
        <w:rPr>
          <w:rFonts w:hint="eastAsia" w:ascii="仿宋_GB2312" w:eastAsia="仿宋_GB2312"/>
          <w:sz w:val="32"/>
          <w:szCs w:val="32"/>
          <w:lang w:eastAsia="zh-CN"/>
        </w:rPr>
        <w:t>本年严格执行中央八项规定，厉行节约，无公务接待费支出</w:t>
      </w:r>
      <w:r>
        <w:rPr>
          <w:rFonts w:ascii="仿宋_GB2312" w:eastAsia="仿宋_GB2312"/>
          <w:sz w:val="32"/>
          <w:szCs w:val="32"/>
          <w:lang w:eastAsia="zh-CN"/>
        </w:rPr>
        <w:t>。</w:t>
      </w:r>
    </w:p>
    <w:p w14:paraId="0B132FC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62B7D827">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BFAB6D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2025年度新疆畜牧科学院（本级）（事业单位）公用经费支出367.84万元，比上年增加62.44万元，增长20.45%，主要原因是：</w:t>
      </w:r>
      <w:r>
        <w:rPr>
          <w:rFonts w:hint="eastAsia" w:ascii="仿宋_GB2312" w:eastAsia="仿宋_GB2312"/>
          <w:sz w:val="32"/>
          <w:szCs w:val="32"/>
          <w:lang w:eastAsia="zh-CN"/>
        </w:rPr>
        <w:t>本年</w:t>
      </w:r>
      <w:r>
        <w:rPr>
          <w:rFonts w:ascii="仿宋_GB2312" w:eastAsia="仿宋_GB2312"/>
          <w:sz w:val="32"/>
          <w:szCs w:val="32"/>
          <w:lang w:eastAsia="zh-CN"/>
        </w:rPr>
        <w:t>在职人员人数相比上年增加，</w:t>
      </w:r>
      <w:r>
        <w:rPr>
          <w:rFonts w:hint="eastAsia" w:ascii="仿宋_GB2312" w:eastAsia="仿宋_GB2312"/>
          <w:sz w:val="32"/>
          <w:szCs w:val="32"/>
          <w:lang w:eastAsia="zh-CN"/>
        </w:rPr>
        <w:t>导致办公经费较上年</w:t>
      </w:r>
      <w:r>
        <w:rPr>
          <w:rFonts w:ascii="仿宋_GB2312" w:eastAsia="仿宋_GB2312"/>
          <w:sz w:val="32"/>
          <w:szCs w:val="32"/>
          <w:lang w:eastAsia="zh-CN"/>
        </w:rPr>
        <w:t>增加。</w:t>
      </w:r>
    </w:p>
    <w:p w14:paraId="457B30CD">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66B9448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2025年度政府采购支出总额58.51万元，其中：政府采购货物支出6.71万元、政府采购工程支出0.00万元、政府采购服务支出51.80万元。</w:t>
      </w:r>
    </w:p>
    <w:p w14:paraId="7F562A2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授予中小企业合同金额52.63万元，占政府采购支出总额的89.95%，其中：授予小微企业合同金额51.20万元，占政府采购支出总额的87.51%。</w:t>
      </w:r>
    </w:p>
    <w:p w14:paraId="33ABE57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4F824D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截至2025年12月31日，房屋48,724.45平方米，价值15,997.66万元。</w:t>
      </w:r>
      <w:r>
        <w:rPr>
          <w:rFonts w:ascii="仿宋_GB2312" w:eastAsia="仿宋_GB2312"/>
          <w:sz w:val="32"/>
          <w:szCs w:val="32"/>
          <w:lang w:eastAsia="zh-CN"/>
        </w:rPr>
        <w:t>车辆8辆，价值289.54万元，其中：副部（省）级及以上领导用车0辆、主要负责人用车1辆、机要通信用车0辆、应急保障用车0辆、执法执勤用车0辆、特种专业技术用车0辆、离退休干部服务用车0辆、其他用车7辆，其他用车主要是：一般公务用车;单价100万元（含）以上设备（不含车辆）2台（套）。</w:t>
      </w:r>
    </w:p>
    <w:p w14:paraId="06AE41A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6D38C0D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根据预算绩效管理要求，本单位2025年度预算绩效评价项目</w:t>
      </w:r>
      <w:r>
        <w:rPr>
          <w:rFonts w:hint="eastAsia" w:ascii="仿宋_GB2312" w:eastAsia="仿宋_GB2312"/>
          <w:sz w:val="32"/>
          <w:szCs w:val="32"/>
          <w:lang w:val="en-US" w:eastAsia="zh-CN"/>
        </w:rPr>
        <w:t>2</w:t>
      </w:r>
      <w:r>
        <w:rPr>
          <w:rFonts w:ascii="仿宋_GB2312" w:eastAsia="仿宋_GB2312"/>
          <w:sz w:val="32"/>
          <w:szCs w:val="32"/>
          <w:lang w:eastAsia="zh-CN"/>
        </w:rPr>
        <w:t>个，全年预算数</w:t>
      </w:r>
      <w:r>
        <w:rPr>
          <w:rFonts w:hint="eastAsia" w:ascii="仿宋_GB2312" w:eastAsia="仿宋_GB2312"/>
          <w:sz w:val="32"/>
          <w:szCs w:val="32"/>
          <w:lang w:eastAsia="zh-CN"/>
        </w:rPr>
        <w:t>13</w:t>
      </w:r>
      <w:r>
        <w:rPr>
          <w:rFonts w:hint="eastAsia" w:ascii="仿宋_GB2312" w:eastAsia="仿宋_GB2312"/>
          <w:sz w:val="32"/>
          <w:szCs w:val="32"/>
          <w:lang w:val="en-US" w:eastAsia="zh-CN"/>
        </w:rPr>
        <w:t>,</w:t>
      </w:r>
      <w:r>
        <w:rPr>
          <w:rFonts w:hint="eastAsia" w:ascii="仿宋_GB2312" w:eastAsia="仿宋_GB2312"/>
          <w:sz w:val="32"/>
          <w:szCs w:val="32"/>
          <w:lang w:eastAsia="zh-CN"/>
        </w:rPr>
        <w:t>029.64</w:t>
      </w:r>
      <w:r>
        <w:rPr>
          <w:rFonts w:ascii="仿宋_GB2312" w:eastAsia="仿宋_GB2312"/>
          <w:sz w:val="32"/>
          <w:szCs w:val="32"/>
          <w:lang w:eastAsia="zh-CN"/>
        </w:rPr>
        <w:t>万元，全年执行数</w:t>
      </w:r>
      <w:r>
        <w:rPr>
          <w:rFonts w:hint="eastAsia" w:ascii="仿宋_GB2312" w:eastAsia="仿宋_GB2312"/>
          <w:sz w:val="32"/>
          <w:szCs w:val="32"/>
          <w:lang w:eastAsia="zh-CN"/>
        </w:rPr>
        <w:t>13</w:t>
      </w:r>
      <w:r>
        <w:rPr>
          <w:rFonts w:hint="eastAsia" w:ascii="仿宋_GB2312" w:eastAsia="仿宋_GB2312"/>
          <w:sz w:val="32"/>
          <w:szCs w:val="32"/>
          <w:lang w:val="en-US" w:eastAsia="zh-CN"/>
        </w:rPr>
        <w:t>,</w:t>
      </w:r>
      <w:r>
        <w:rPr>
          <w:rFonts w:hint="eastAsia" w:ascii="仿宋_GB2312" w:eastAsia="仿宋_GB2312"/>
          <w:sz w:val="32"/>
          <w:szCs w:val="32"/>
          <w:lang w:eastAsia="zh-CN"/>
        </w:rPr>
        <w:t>029.64</w:t>
      </w:r>
      <w:r>
        <w:rPr>
          <w:rFonts w:ascii="仿宋_GB2312" w:eastAsia="仿宋_GB2312"/>
          <w:sz w:val="32"/>
          <w:szCs w:val="32"/>
          <w:lang w:eastAsia="zh-CN"/>
        </w:rPr>
        <w:t>万元。预算绩效管理取得的成效：一是认真贯彻落实自治区党委统筹推进畜牧科技技术和经济技术发展工作部署，保障相关项目顺利推进；二是改善科</w:t>
      </w:r>
      <w:bookmarkStart w:id="0" w:name="_GoBack"/>
      <w:bookmarkEnd w:id="0"/>
      <w:r>
        <w:rPr>
          <w:rFonts w:ascii="仿宋_GB2312" w:eastAsia="仿宋_GB2312"/>
          <w:sz w:val="32"/>
          <w:szCs w:val="32"/>
          <w:lang w:eastAsia="zh-CN"/>
        </w:rPr>
        <w:t>研条件，进一步为畜牧产业高质量发展提质增效。发现的问题及原因：一是预算绩效设置不够贴合实际，原因是在考虑项目预算绩效时忽略了资金到位的及时性；二是材料费、劳务费、差旅费、完成试验等成本完成率较低，原因是</w:t>
      </w:r>
      <w:r>
        <w:rPr>
          <w:rFonts w:hint="eastAsia" w:ascii="仿宋_GB2312" w:eastAsia="仿宋_GB2312"/>
          <w:sz w:val="32"/>
          <w:szCs w:val="32"/>
          <w:lang w:eastAsia="zh-CN"/>
        </w:rPr>
        <w:t>本单位</w:t>
      </w:r>
      <w:r>
        <w:rPr>
          <w:rFonts w:ascii="仿宋_GB2312" w:eastAsia="仿宋_GB2312"/>
          <w:sz w:val="32"/>
          <w:szCs w:val="32"/>
          <w:lang w:eastAsia="zh-CN"/>
        </w:rPr>
        <w:t>承担的科研项目大部分为3-5年延续性项目，无法在一年内完成项目执行，因此实际完成金额与预算金额相差较大。下一步改进措施：一是进一步健全和完善财务管理制度及绩效评价管理办法，积极提升绩效管理水平；二是合理安排各项目预算资金支出，尽可能制定准确均衡的预算支出计划，以利于单位科研工作正常开展，保障重点项目顺利实施。具体附项目支出绩效自评表。</w:t>
      </w:r>
    </w:p>
    <w:p w14:paraId="3525D07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78E7E88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本单位无其他需说明的事项。</w:t>
      </w:r>
    </w:p>
    <w:p w14:paraId="0AC9E999">
      <w:pPr>
        <w:spacing w:after="0" w:line="240" w:lineRule="auto"/>
        <w:ind w:firstLine="640" w:firstLineChars="200"/>
        <w:rPr>
          <w:rFonts w:ascii="仿宋_GB2312" w:eastAsia="仿宋_GB2312"/>
          <w:sz w:val="32"/>
          <w:szCs w:val="32"/>
          <w:lang w:eastAsia="zh-CN"/>
        </w:rPr>
      </w:pPr>
    </w:p>
    <w:p w14:paraId="21715696">
      <w:pPr>
        <w:rPr>
          <w:lang w:eastAsia="zh-CN"/>
        </w:rPr>
      </w:pPr>
      <w:r>
        <w:rPr>
          <w:sz w:val="0"/>
          <w:szCs w:val="0"/>
          <w:lang w:eastAsia="zh-CN"/>
        </w:rPr>
        <w:br w:type="page"/>
      </w:r>
    </w:p>
    <w:p w14:paraId="40CDF924">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7D9EB07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120B98B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FEF993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61DB3E9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EB1244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413CB2C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5BA5E2E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1EF5747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1D32D10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5759B6E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436264E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33E24AD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65A24FA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6FE2CB0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34A63D23">
      <w:pPr>
        <w:spacing w:after="0" w:line="240" w:lineRule="auto"/>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4695C4A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D42D7A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4B4AE157">
      <w:pPr>
        <w:rPr>
          <w:lang w:eastAsia="zh-CN"/>
        </w:rPr>
      </w:pPr>
      <w:r>
        <w:rPr>
          <w:sz w:val="0"/>
          <w:szCs w:val="0"/>
          <w:lang w:eastAsia="zh-CN"/>
        </w:rPr>
        <w:br w:type="page"/>
      </w:r>
    </w:p>
    <w:p w14:paraId="6864C4B8">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34C09A6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9E46E6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661680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AAAD5E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5952F4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F13B94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5E9A22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507AC7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B39AE3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A9265F"/>
    <w:rsid w:val="000D20F3"/>
    <w:rsid w:val="001640FA"/>
    <w:rsid w:val="00327E07"/>
    <w:rsid w:val="003C5CB3"/>
    <w:rsid w:val="00461352"/>
    <w:rsid w:val="004C0A6F"/>
    <w:rsid w:val="0055379B"/>
    <w:rsid w:val="0067254A"/>
    <w:rsid w:val="00742C7A"/>
    <w:rsid w:val="007522AA"/>
    <w:rsid w:val="00935A94"/>
    <w:rsid w:val="009419C7"/>
    <w:rsid w:val="00996BCA"/>
    <w:rsid w:val="009C5F29"/>
    <w:rsid w:val="00A9265F"/>
    <w:rsid w:val="00AD51ED"/>
    <w:rsid w:val="00B5673B"/>
    <w:rsid w:val="00C035AD"/>
    <w:rsid w:val="00D967C5"/>
    <w:rsid w:val="00E37B76"/>
    <w:rsid w:val="00E93E23"/>
    <w:rsid w:val="00F64F43"/>
    <w:rsid w:val="00F91170"/>
    <w:rsid w:val="18A83037"/>
    <w:rsid w:val="27FC092C"/>
    <w:rsid w:val="3DBB7CD3"/>
    <w:rsid w:val="42077B1B"/>
    <w:rsid w:val="69B618DA"/>
    <w:rsid w:val="774A6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2"/>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23"/>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4"/>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5"/>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annotation text"/>
    <w:basedOn w:val="1"/>
    <w:link w:val="30"/>
    <w:semiHidden/>
    <w:unhideWhenUsed/>
    <w:qFormat/>
    <w:uiPriority w:val="99"/>
  </w:style>
  <w:style w:type="paragraph" w:styleId="9">
    <w:name w:val="Balloon Text"/>
    <w:basedOn w:val="1"/>
    <w:link w:val="29"/>
    <w:semiHidden/>
    <w:unhideWhenUsed/>
    <w:qFormat/>
    <w:uiPriority w:val="99"/>
    <w:pPr>
      <w:spacing w:after="0" w:line="240" w:lineRule="auto"/>
    </w:pPr>
    <w:rPr>
      <w:sz w:val="18"/>
      <w:szCs w:val="18"/>
    </w:rPr>
  </w:style>
  <w:style w:type="paragraph" w:styleId="10">
    <w:name w:val="footer"/>
    <w:basedOn w:val="1"/>
    <w:link w:val="28"/>
    <w:unhideWhenUsed/>
    <w:qFormat/>
    <w:uiPriority w:val="99"/>
    <w:pPr>
      <w:tabs>
        <w:tab w:val="center" w:pos="4153"/>
        <w:tab w:val="right" w:pos="8306"/>
      </w:tabs>
      <w:snapToGrid w:val="0"/>
      <w:spacing w:line="240" w:lineRule="auto"/>
    </w:pPr>
    <w:rPr>
      <w:sz w:val="18"/>
      <w:szCs w:val="18"/>
    </w:rPr>
  </w:style>
  <w:style w:type="paragraph" w:styleId="11">
    <w:name w:val="header"/>
    <w:basedOn w:val="1"/>
    <w:link w:val="21"/>
    <w:unhideWhenUsed/>
    <w:qFormat/>
    <w:uiPriority w:val="99"/>
    <w:pPr>
      <w:tabs>
        <w:tab w:val="center" w:pos="4680"/>
        <w:tab w:val="right" w:pos="9360"/>
      </w:tabs>
    </w:pPr>
  </w:style>
  <w:style w:type="paragraph" w:styleId="12">
    <w:name w:val="Subtitle"/>
    <w:basedOn w:val="1"/>
    <w:next w:val="1"/>
    <w:link w:val="26"/>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3">
    <w:name w:val="Title"/>
    <w:basedOn w:val="1"/>
    <w:next w:val="1"/>
    <w:link w:val="27"/>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4">
    <w:name w:val="annotation subject"/>
    <w:basedOn w:val="8"/>
    <w:next w:val="8"/>
    <w:link w:val="31"/>
    <w:semiHidden/>
    <w:unhideWhenUsed/>
    <w:qFormat/>
    <w:uiPriority w:val="99"/>
    <w:rPr>
      <w:b/>
      <w:bCs/>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Emphasis"/>
    <w:basedOn w:val="17"/>
    <w:qFormat/>
    <w:uiPriority w:val="20"/>
    <w:rPr>
      <w:i/>
      <w:iCs/>
    </w:rPr>
  </w:style>
  <w:style w:type="character" w:styleId="19">
    <w:name w:val="Hyperlink"/>
    <w:basedOn w:val="17"/>
    <w:unhideWhenUsed/>
    <w:qFormat/>
    <w:uiPriority w:val="99"/>
    <w:rPr>
      <w:color w:val="0563C1" w:themeColor="hyperlink"/>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style>
  <w:style w:type="character" w:customStyle="1" w:styleId="22">
    <w:name w:val="标题 1 字符"/>
    <w:basedOn w:val="17"/>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23">
    <w:name w:val="标题 2 字符"/>
    <w:basedOn w:val="17"/>
    <w:link w:val="3"/>
    <w:qFormat/>
    <w:uiPriority w:val="9"/>
    <w:rPr>
      <w:rFonts w:asciiTheme="majorHAnsi" w:hAnsiTheme="majorHAnsi" w:eastAsiaTheme="majorEastAsia" w:cstheme="majorBidi"/>
      <w:b/>
      <w:bCs/>
      <w:color w:val="5B9BD5" w:themeColor="accent1"/>
      <w:sz w:val="26"/>
      <w:szCs w:val="26"/>
    </w:rPr>
  </w:style>
  <w:style w:type="character" w:customStyle="1" w:styleId="24">
    <w:name w:val="标题 3 字符"/>
    <w:basedOn w:val="17"/>
    <w:link w:val="4"/>
    <w:qFormat/>
    <w:uiPriority w:val="9"/>
    <w:rPr>
      <w:rFonts w:asciiTheme="majorHAnsi" w:hAnsiTheme="majorHAnsi" w:eastAsiaTheme="majorEastAsia" w:cstheme="majorBidi"/>
      <w:b/>
      <w:bCs/>
      <w:color w:val="5B9BD5" w:themeColor="accent1"/>
    </w:rPr>
  </w:style>
  <w:style w:type="character" w:customStyle="1" w:styleId="25">
    <w:name w:val="标题 4 字符"/>
    <w:basedOn w:val="17"/>
    <w:link w:val="5"/>
    <w:qFormat/>
    <w:uiPriority w:val="9"/>
    <w:rPr>
      <w:rFonts w:asciiTheme="majorHAnsi" w:hAnsiTheme="majorHAnsi" w:eastAsiaTheme="majorEastAsia" w:cstheme="majorBidi"/>
      <w:b/>
      <w:bCs/>
      <w:i/>
      <w:iCs/>
      <w:color w:val="5B9BD5" w:themeColor="accent1"/>
    </w:rPr>
  </w:style>
  <w:style w:type="character" w:customStyle="1" w:styleId="26">
    <w:name w:val="副标题 字符"/>
    <w:basedOn w:val="17"/>
    <w:link w:val="12"/>
    <w:qFormat/>
    <w:uiPriority w:val="11"/>
    <w:rPr>
      <w:rFonts w:asciiTheme="majorHAnsi" w:hAnsiTheme="majorHAnsi" w:eastAsiaTheme="majorEastAsia" w:cstheme="majorBidi"/>
      <w:i/>
      <w:iCs/>
      <w:color w:val="5B9BD5" w:themeColor="accent1"/>
      <w:spacing w:val="15"/>
      <w:sz w:val="24"/>
      <w:szCs w:val="24"/>
    </w:rPr>
  </w:style>
  <w:style w:type="character" w:customStyle="1" w:styleId="27">
    <w:name w:val="标题 字符"/>
    <w:basedOn w:val="17"/>
    <w:link w:val="13"/>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8">
    <w:name w:val="页脚 字符"/>
    <w:basedOn w:val="17"/>
    <w:link w:val="10"/>
    <w:qFormat/>
    <w:uiPriority w:val="99"/>
    <w:rPr>
      <w:sz w:val="18"/>
      <w:szCs w:val="18"/>
    </w:rPr>
  </w:style>
  <w:style w:type="character" w:customStyle="1" w:styleId="29">
    <w:name w:val="批注框文本 字符"/>
    <w:basedOn w:val="17"/>
    <w:link w:val="9"/>
    <w:semiHidden/>
    <w:qFormat/>
    <w:uiPriority w:val="99"/>
    <w:rPr>
      <w:rFonts w:asciiTheme="minorHAnsi" w:hAnsiTheme="minorHAnsi" w:eastAsiaTheme="minorEastAsia" w:cstheme="minorBidi"/>
      <w:sz w:val="18"/>
      <w:szCs w:val="18"/>
      <w:lang w:eastAsia="en-US"/>
    </w:rPr>
  </w:style>
  <w:style w:type="character" w:customStyle="1" w:styleId="30">
    <w:name w:val="批注文字 字符"/>
    <w:basedOn w:val="17"/>
    <w:link w:val="8"/>
    <w:semiHidden/>
    <w:qFormat/>
    <w:uiPriority w:val="99"/>
    <w:rPr>
      <w:rFonts w:asciiTheme="minorHAnsi" w:hAnsiTheme="minorHAnsi" w:eastAsiaTheme="minorEastAsia" w:cstheme="minorBidi"/>
      <w:sz w:val="22"/>
      <w:szCs w:val="22"/>
      <w:lang w:eastAsia="en-US"/>
    </w:rPr>
  </w:style>
  <w:style w:type="character" w:customStyle="1" w:styleId="31">
    <w:name w:val="批注主题 字符"/>
    <w:basedOn w:val="30"/>
    <w:link w:val="14"/>
    <w:semiHidden/>
    <w:qFormat/>
    <w:uiPriority w:val="99"/>
    <w:rPr>
      <w:rFonts w:asciiTheme="minorHAnsi" w:hAnsiTheme="minorHAnsi" w:eastAsiaTheme="minorEastAsia" w:cstheme="minorBidi"/>
      <w:b/>
      <w:bCs/>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6389</Words>
  <Characters>7151</Characters>
  <Lines>52</Lines>
  <Paragraphs>14</Paragraphs>
  <TotalTime>131</TotalTime>
  <ScaleCrop>false</ScaleCrop>
  <LinksUpToDate>false</LinksUpToDate>
  <CharactersWithSpaces>7158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2026-08-19T04:29:00Z</dcterms:created>
  <dc:creator>admin</dc:creator>
  <cp:lastModifiedBy>雨。</cp:lastModifiedBy>
  <dcterms:modified xsi:type="dcterms:W3CDTF">2026-08-31T05:22:18Z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2052-12.1.0.18608</vt:lpwstr>
  </property>
  <property fmtid="{D5CDD505-2E9C-101B-9397-08002B2CF9AE}" pid="4" name="ICV">
    <vt:lpwstr>D04D476657E84B58B4962EFB5EBD71B4_12</vt:lpwstr>
  </property>
</Properties>
</file>