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D4E75D">
      <w:pPr>
        <w:widowControl/>
        <w:spacing w:before="0" w:beforeLines="0" w:beforeAutospacing="0" w:after="0" w:afterLines="0" w:afterAutospacing="0" w:line="240" w:lineRule="auto"/>
        <w:jc w:val="left"/>
        <w:rPr>
          <w:rFonts w:ascii="宋体" w:eastAsia="宋体"/>
          <w:sz w:val="32"/>
          <w:szCs w:val="32"/>
        </w:rPr>
      </w:pPr>
    </w:p>
    <w:p w14:paraId="44968637">
      <w:pPr>
        <w:widowControl/>
        <w:spacing w:before="0" w:beforeLines="0" w:beforeAutospacing="0" w:after="0" w:afterLines="0" w:afterAutospacing="0" w:line="240" w:lineRule="auto"/>
        <w:jc w:val="left"/>
        <w:rPr>
          <w:rFonts w:ascii="宋体" w:eastAsia="宋体"/>
          <w:sz w:val="44"/>
          <w:szCs w:val="44"/>
        </w:rPr>
      </w:pPr>
    </w:p>
    <w:p w14:paraId="28778C07">
      <w:pPr>
        <w:widowControl/>
        <w:spacing w:before="0" w:beforeLines="0" w:beforeAutospacing="0" w:after="0" w:afterLines="0" w:afterAutospacing="0" w:line="240" w:lineRule="auto"/>
        <w:jc w:val="left"/>
        <w:rPr>
          <w:rFonts w:ascii="宋体" w:eastAsia="宋体"/>
          <w:sz w:val="44"/>
          <w:szCs w:val="44"/>
        </w:rPr>
      </w:pPr>
    </w:p>
    <w:p w14:paraId="563FC473">
      <w:pPr>
        <w:widowControl/>
        <w:spacing w:before="0" w:beforeLines="0" w:beforeAutospacing="0" w:after="0" w:afterLines="0" w:afterAutospacing="0" w:line="240" w:lineRule="auto"/>
        <w:jc w:val="left"/>
        <w:rPr>
          <w:rFonts w:ascii="宋体" w:eastAsia="宋体"/>
          <w:sz w:val="44"/>
          <w:szCs w:val="44"/>
        </w:rPr>
      </w:pPr>
    </w:p>
    <w:p w14:paraId="137176D8">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新疆维吾尔自治区科学技术厅机关服务中心</w:t>
      </w:r>
    </w:p>
    <w:p w14:paraId="0F370492">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14:paraId="3AA3C06F">
      <w:pPr>
        <w:widowControl/>
      </w:pPr>
      <w:r>
        <w:rPr>
          <w:b w:val="0"/>
          <w:sz w:val="0"/>
          <w:szCs w:val="0"/>
        </w:rPr>
        <w:br w:type="page"/>
      </w:r>
    </w:p>
    <w:p w14:paraId="6200BADC">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14:paraId="1428D9B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14:paraId="751C09F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14:paraId="62E7280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14:paraId="2E64A6D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14:paraId="7CCF246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14:paraId="3E926FF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14:paraId="35CE0E6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14:paraId="3C859AB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14:paraId="296B0BD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14:paraId="024139D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14:paraId="3C48CDD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14:paraId="6293F4A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14:paraId="32C2909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14:paraId="3D8CC69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14:paraId="4BF7FFC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6CCD2C7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14:paraId="3D923E7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14:paraId="48F26ED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14:paraId="770115C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14:paraId="24DF91B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14:paraId="53F47CF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14:paraId="0F9F3A7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14:paraId="2030B4E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14:paraId="31DC09A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14:paraId="3203696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14:paraId="2C05753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14:paraId="13E3CC7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14:paraId="093540F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14:paraId="613C3D4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14:paraId="7D246F5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14:paraId="1D10D38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14:paraId="630BC57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14:paraId="469A0A3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14:paraId="4C75B43C">
      <w:pPr>
        <w:widowControl/>
      </w:pPr>
      <w:r>
        <w:rPr>
          <w:b w:val="0"/>
          <w:sz w:val="0"/>
          <w:szCs w:val="0"/>
        </w:rPr>
        <w:br w:type="page"/>
      </w:r>
    </w:p>
    <w:p w14:paraId="76CBF463">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14:paraId="3F0704C9">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14:paraId="3F00E6F1">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为机关办公提供服务保障，厅机关后勤服务。如：物业管理、水电暖维修、房屋维修、卫生绿化、房产管理和车辆保障等。</w:t>
      </w:r>
    </w:p>
    <w:p w14:paraId="155C1527">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14:paraId="4DBD8E5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新疆维吾尔自治区科学技术厅机关服务中心无下属预算单位。</w:t>
      </w:r>
    </w:p>
    <w:p w14:paraId="1136699C">
      <w:pPr>
        <w:widowControl/>
      </w:pPr>
      <w:r>
        <w:rPr>
          <w:b w:val="0"/>
          <w:sz w:val="0"/>
          <w:szCs w:val="0"/>
        </w:rPr>
        <w:br w:type="page"/>
      </w:r>
    </w:p>
    <w:p w14:paraId="36B0D0E8">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14:paraId="2FD97B0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14:paraId="42E81C3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hAnsi="Times New Roman" w:eastAsia="仿宋_GB2312" w:cs="Times New Roman"/>
          <w:b w:val="0"/>
          <w:bCs w:val="0"/>
          <w:spacing w:val="0"/>
          <w:kern w:val="2"/>
          <w:sz w:val="32"/>
          <w:szCs w:val="32"/>
          <w:highlight w:val="none"/>
          <w:lang w:eastAsia="zh-CN"/>
        </w:rPr>
        <w:t>2025年度收入总计547.21万元，</w:t>
      </w:r>
      <w:r>
        <w:rPr>
          <w:rFonts w:ascii="仿宋_GB2312" w:eastAsia="仿宋_GB2312"/>
          <w:b w:val="0"/>
          <w:sz w:val="32"/>
          <w:szCs w:val="32"/>
        </w:rPr>
        <w:t>其中：本年收入合计590.26万元，使用非财政拨款结余（含专用结余）0.00万元，年初结转和结余-43.05万元。</w:t>
      </w:r>
    </w:p>
    <w:p w14:paraId="092072B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bCs w:val="0"/>
          <w:sz w:val="32"/>
          <w:szCs w:val="32"/>
        </w:rPr>
        <w:t>2025年度支出总计547.21万元，</w:t>
      </w:r>
      <w:r>
        <w:rPr>
          <w:rFonts w:ascii="仿宋_GB2312" w:eastAsia="仿宋_GB2312"/>
          <w:b w:val="0"/>
          <w:sz w:val="32"/>
          <w:szCs w:val="32"/>
        </w:rPr>
        <w:t>其中：本年支出合计570.32万元，结余分配0.00万元，年末结转和结余-23.11万元。</w:t>
      </w:r>
    </w:p>
    <w:p w14:paraId="2F7AF1D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bCs w:val="0"/>
          <w:sz w:val="32"/>
          <w:szCs w:val="32"/>
        </w:rPr>
        <w:t>收入支出总体与上年相比，</w:t>
      </w:r>
      <w:r>
        <w:rPr>
          <w:rFonts w:ascii="仿宋_GB2312" w:eastAsia="仿宋_GB2312"/>
          <w:b w:val="0"/>
          <w:sz w:val="32"/>
          <w:szCs w:val="32"/>
        </w:rPr>
        <w:t>增加46.55万元，增长9.30%，主要原因是：本年在职人员工资调增，社保、公积金基数调增，人员经费增加。</w:t>
      </w:r>
    </w:p>
    <w:p w14:paraId="5AE08827">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14:paraId="2D1D67F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hAnsi="Times New Roman" w:eastAsia="仿宋_GB2312" w:cs="Times New Roman"/>
          <w:b w:val="0"/>
          <w:bCs w:val="0"/>
          <w:kern w:val="2"/>
          <w:sz w:val="32"/>
          <w:szCs w:val="32"/>
          <w:highlight w:val="none"/>
          <w:lang w:eastAsia="zh-CN"/>
        </w:rPr>
        <w:t>本年收入590.26万元，</w:t>
      </w:r>
      <w:r>
        <w:rPr>
          <w:rFonts w:ascii="仿宋_GB2312" w:eastAsia="仿宋_GB2312"/>
          <w:b w:val="0"/>
          <w:sz w:val="32"/>
          <w:szCs w:val="32"/>
        </w:rPr>
        <w:t>其中：财政拨款收入456.38万元,占77.32%</w:t>
      </w:r>
      <w:r>
        <w:rPr>
          <w:rFonts w:hint="eastAsia" w:ascii="仿宋_GB2312" w:eastAsia="仿宋_GB2312"/>
          <w:b w:val="0"/>
          <w:sz w:val="32"/>
          <w:szCs w:val="32"/>
          <w:lang w:eastAsia="zh-CN"/>
        </w:rPr>
        <w:t>；</w:t>
      </w:r>
      <w:r>
        <w:rPr>
          <w:rFonts w:ascii="仿宋_GB2312" w:eastAsia="仿宋_GB2312"/>
          <w:b w:val="0"/>
          <w:sz w:val="32"/>
          <w:szCs w:val="32"/>
        </w:rPr>
        <w:t>上级补助收入0.00万元,占0.00%；事业收入0.00万元，占0.00%；经营收入133.85万元,占22.68%；附属单位上缴收入0.00万元，占0.00%；其他收入0.04万元，占0.01%。</w:t>
      </w:r>
    </w:p>
    <w:p w14:paraId="77EE4B0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14:paraId="13B3B16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本年支出570.32万元，其中：基本支出456.41万元，占80.03%；项目支出0.00万元，占0.00%；上缴上级支出0.00万元，占0.00%；经营支出113.91万元，占19.97%；对附属单位补助支出0.00万元，占0.00%。</w:t>
      </w:r>
    </w:p>
    <w:p w14:paraId="240B58D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14:paraId="65C2C3E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2025年度财政拨款收入总计456.38万元，其中：年初财政拨款结转和结余0.00万元，本年财政拨款收入456.38万元。财政拨款支出总计456.38万元，其中：年末财政拨款结转和结余0.00万元，本年财政拨款支出456.38万元。</w:t>
      </w:r>
    </w:p>
    <w:p w14:paraId="65A049C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财政拨款收入支出总体与上年相比，增加5.39万元，增长1.20%，主要原因是：本年在职人员工资调增，社保、公积金基数调增，人员经费增加</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经营收入较上年增加</w:t>
      </w:r>
      <w:r>
        <w:rPr>
          <w:rFonts w:ascii="仿宋_GB2312" w:eastAsia="仿宋_GB2312"/>
          <w:b w:val="0"/>
          <w:sz w:val="32"/>
          <w:szCs w:val="32"/>
        </w:rPr>
        <w:t>。与年初预算相比，年初预算数394.66万元，决算数456.38万元，预决算差异率15.64%，主要原因是：年中追加人员工资、社保、公积金基数调增部分资金</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职业年金单位缴费，2024年度考核奖，结对认亲交通费，</w:t>
      </w:r>
      <w:r>
        <w:rPr>
          <w:rFonts w:ascii="仿宋_GB2312" w:eastAsia="仿宋_GB2312"/>
          <w:b w:val="0"/>
          <w:sz w:val="32"/>
          <w:szCs w:val="32"/>
        </w:rPr>
        <w:t>导致预决算存在差异</w:t>
      </w:r>
      <w:r>
        <w:rPr>
          <w:rFonts w:hint="eastAsia" w:ascii="仿宋_GB2312" w:eastAsia="仿宋_GB2312"/>
          <w:b w:val="0"/>
          <w:sz w:val="32"/>
          <w:szCs w:val="32"/>
          <w:highlight w:val="none"/>
          <w:lang w:val="en-US" w:eastAsia="zh-CN"/>
        </w:rPr>
        <w:t>。</w:t>
      </w:r>
    </w:p>
    <w:p w14:paraId="001AF25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14:paraId="61737A32">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w:t>
      </w:r>
      <w:r>
        <w:rPr>
          <w:rFonts w:hint="eastAsia" w:ascii="仿宋_GB2312" w:eastAsia="仿宋_GB2312"/>
          <w:b w:val="0"/>
          <w:sz w:val="32"/>
          <w:szCs w:val="32"/>
          <w:lang w:val="en-US" w:eastAsia="zh-CN"/>
        </w:rPr>
        <w:t>机构运行、公共服务、事业发展</w:t>
      </w:r>
      <w:r>
        <w:rPr>
          <w:rFonts w:ascii="仿宋_GB2312" w:eastAsia="仿宋_GB2312"/>
          <w:b w:val="0"/>
          <w:sz w:val="32"/>
          <w:szCs w:val="32"/>
        </w:rPr>
        <w:t>等重点支出，体现在有关支出科目中。</w:t>
      </w:r>
    </w:p>
    <w:p w14:paraId="23D80D24">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按照支出功能分类，科学技术支出（类）科学技术管理事务（款）机关服务（项）的支出占本年财政拨款支出总额的比重最高，2025年度决算数为456.38万元，占比100.00%，主要用于</w:t>
      </w:r>
      <w:r>
        <w:rPr>
          <w:rFonts w:hint="eastAsia" w:ascii="仿宋_GB2312" w:eastAsia="仿宋_GB2312"/>
          <w:b w:val="0"/>
          <w:sz w:val="32"/>
          <w:szCs w:val="32"/>
        </w:rPr>
        <w:t>保障</w:t>
      </w:r>
      <w:r>
        <w:rPr>
          <w:rFonts w:hint="eastAsia" w:ascii="仿宋_GB2312" w:eastAsia="仿宋_GB2312"/>
          <w:b w:val="0"/>
          <w:sz w:val="32"/>
          <w:szCs w:val="32"/>
          <w:lang w:val="en-US" w:eastAsia="zh-CN"/>
        </w:rPr>
        <w:t>单位</w:t>
      </w:r>
      <w:r>
        <w:rPr>
          <w:rFonts w:hint="eastAsia" w:ascii="仿宋_GB2312" w:eastAsia="仿宋_GB2312"/>
          <w:b w:val="0"/>
          <w:sz w:val="32"/>
          <w:szCs w:val="32"/>
        </w:rPr>
        <w:t>日常运转所必需的</w:t>
      </w:r>
      <w:r>
        <w:rPr>
          <w:rFonts w:hint="eastAsia" w:ascii="仿宋_GB2312" w:eastAsia="仿宋_GB2312"/>
          <w:b w:val="0"/>
          <w:sz w:val="32"/>
          <w:szCs w:val="32"/>
          <w:lang w:val="en-US" w:eastAsia="zh-CN"/>
        </w:rPr>
        <w:t>人员工资福利、日常公用经费</w:t>
      </w:r>
      <w:r>
        <w:rPr>
          <w:rFonts w:hint="eastAsia" w:ascii="仿宋_GB2312" w:eastAsia="仿宋_GB2312"/>
          <w:b w:val="0"/>
          <w:sz w:val="32"/>
          <w:szCs w:val="32"/>
        </w:rPr>
        <w:t>。</w:t>
      </w:r>
    </w:p>
    <w:p w14:paraId="76FBF59F">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14:paraId="0A26848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2025年度一般公共预算财政拨款支出456.38万元，占本年支出合计的80.02%。与上年相比，增加5.39万元，增长1.20%，主要原因是：本年在职人员工资调增，社保、公积金基数调增，人员经费增加</w:t>
      </w:r>
      <w:r>
        <w:rPr>
          <w:rFonts w:hint="eastAsia" w:ascii="仿宋_GB2312" w:eastAsia="仿宋_GB2312"/>
          <w:b w:val="0"/>
          <w:sz w:val="32"/>
          <w:szCs w:val="32"/>
          <w:highlight w:val="none"/>
        </w:rPr>
        <w:t>。</w:t>
      </w:r>
      <w:r>
        <w:rPr>
          <w:rFonts w:ascii="仿宋_GB2312" w:eastAsia="仿宋_GB2312"/>
          <w:b w:val="0"/>
          <w:sz w:val="32"/>
          <w:szCs w:val="32"/>
        </w:rPr>
        <w:t>与年初预算相比，年初预算数394.66万元，决算数456.38万元，预决算差异率15.64%，主要原因是：年中追加人员工资、社保、公积金基数调增部分资金</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职业年金单位缴费，2024年度考核奖，结对认亲交通费，</w:t>
      </w:r>
      <w:r>
        <w:rPr>
          <w:rFonts w:ascii="仿宋_GB2312" w:eastAsia="仿宋_GB2312"/>
          <w:b w:val="0"/>
          <w:sz w:val="32"/>
          <w:szCs w:val="32"/>
        </w:rPr>
        <w:t>导致预决算存在差异</w:t>
      </w:r>
      <w:r>
        <w:rPr>
          <w:rFonts w:ascii="仿宋_GB2312" w:eastAsia="仿宋_GB2312"/>
          <w:b w:val="0"/>
          <w:sz w:val="32"/>
          <w:szCs w:val="32"/>
          <w:highlight w:val="none"/>
        </w:rPr>
        <w:t>。</w:t>
      </w:r>
    </w:p>
    <w:p w14:paraId="0FB48B93">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14:paraId="14FD735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1.科学技术支出（类）456.38万元，占100.00%。</w:t>
      </w:r>
    </w:p>
    <w:p w14:paraId="274D23C5">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14:paraId="4AA34854">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eastAsia="zh-CN"/>
        </w:rPr>
        <w:t>1.</w:t>
      </w:r>
      <w:r>
        <w:rPr>
          <w:rFonts w:ascii="仿宋_GB2312" w:eastAsia="仿宋_GB2312"/>
          <w:b w:val="0"/>
          <w:sz w:val="32"/>
          <w:szCs w:val="32"/>
        </w:rPr>
        <w:t>科学技术支出（类）科学技术管理事务（款）机关服务（项）：支出决算数为456.38万元，比上年决算增加5.39万元，增长1.20%，主要原因是：本年在职人员工资调增，社保、公积金基数调增，人员经费增加</w:t>
      </w:r>
      <w:r>
        <w:rPr>
          <w:rFonts w:hint="eastAsia" w:ascii="仿宋_GB2312" w:eastAsia="仿宋_GB2312"/>
          <w:b w:val="0"/>
          <w:sz w:val="32"/>
          <w:szCs w:val="32"/>
        </w:rPr>
        <w:t>。</w:t>
      </w:r>
    </w:p>
    <w:p w14:paraId="2AAA520D">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14:paraId="0C348D9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基本支出456.38万元，其中：人员经费431.62万元，包括：基本工资、津贴补贴、奖金、绩效工资、机关事业单位基本养老保险缴费、职业年金缴费、职工基本医疗保险缴费、公务员医疗补助缴费、其他社会保障缴费、住房公积金、其他工资福利支出、退休费、奖励金和其他对个人和家庭的补助。</w:t>
      </w:r>
    </w:p>
    <w:p w14:paraId="47647C4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公用经费24.76万元，包括：办公费、水费、电费、邮电费、取暖费、物业管理费、差旅费、维修（护）费、委托业务费、工会经费、福利费、公务用车运行维护费和其他商品和服务支出。</w:t>
      </w:r>
    </w:p>
    <w:p w14:paraId="7F0FCF5B">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14:paraId="654DE1E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5EF7BA1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14:paraId="6438EF7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366B4054">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14:paraId="729DEE4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2025年度财政拨款“三公”经费支出1.02万元，比上年减少0.00万元，下降0.00%，主要原因是：我单位财政拨款“三公”经费与上年一致无变化</w:t>
      </w:r>
      <w:r>
        <w:rPr>
          <w:rFonts w:hint="eastAsia" w:ascii="仿宋_GB2312" w:eastAsia="仿宋_GB2312"/>
          <w:b w:val="0"/>
          <w:sz w:val="32"/>
          <w:szCs w:val="32"/>
          <w:highlight w:val="none"/>
        </w:rPr>
        <w:t>。</w:t>
      </w:r>
      <w:r>
        <w:rPr>
          <w:rFonts w:ascii="仿宋_GB2312" w:eastAsia="仿宋_GB2312"/>
          <w:b w:val="0"/>
          <w:sz w:val="32"/>
          <w:szCs w:val="32"/>
        </w:rPr>
        <w:t>其中：因公出国（境）费用支出0.00万元,占0.00%，与上年相比无变化，主要原因是：</w:t>
      </w:r>
      <w:r>
        <w:rPr>
          <w:rFonts w:ascii="仿宋_GB2312" w:eastAsia="仿宋_GB2312"/>
          <w:b w:val="0"/>
          <w:sz w:val="32"/>
          <w:szCs w:val="32"/>
          <w:highlight w:val="none"/>
        </w:rPr>
        <w:t>我单位</w:t>
      </w:r>
      <w:r>
        <w:rPr>
          <w:rFonts w:hint="eastAsia" w:ascii="仿宋_GB2312" w:eastAsia="仿宋_GB2312"/>
          <w:b w:val="0"/>
          <w:sz w:val="32"/>
          <w:szCs w:val="32"/>
          <w:highlight w:val="none"/>
          <w:lang w:val="en-US" w:eastAsia="zh-CN"/>
        </w:rPr>
        <w:t>2024年度与2025年度均未安排</w:t>
      </w:r>
      <w:r>
        <w:rPr>
          <w:rFonts w:ascii="仿宋_GB2312" w:eastAsia="仿宋_GB2312"/>
          <w:b w:val="0"/>
          <w:sz w:val="32"/>
          <w:szCs w:val="32"/>
          <w:highlight w:val="none"/>
        </w:rPr>
        <w:t>因公出国（境）费；</w:t>
      </w:r>
      <w:r>
        <w:rPr>
          <w:rFonts w:ascii="仿宋_GB2312" w:eastAsia="仿宋_GB2312"/>
          <w:b w:val="0"/>
          <w:sz w:val="32"/>
          <w:szCs w:val="32"/>
        </w:rPr>
        <w:t>公务用车购置及运行维护费支出1.02万元，占100.00%，比上年减少0.00万元，下降0.00%，主要原因是：</w:t>
      </w:r>
      <w:r>
        <w:rPr>
          <w:rFonts w:ascii="仿宋_GB2312" w:eastAsia="仿宋_GB2312"/>
          <w:sz w:val="32"/>
          <w:szCs w:val="32"/>
          <w:highlight w:val="none"/>
        </w:rPr>
        <w:t>我单位</w:t>
      </w:r>
      <w:r>
        <w:rPr>
          <w:rFonts w:ascii="仿宋_GB2312" w:eastAsia="仿宋_GB2312"/>
          <w:b w:val="0"/>
          <w:sz w:val="32"/>
          <w:szCs w:val="32"/>
          <w:highlight w:val="none"/>
        </w:rPr>
        <w:t>公务用车购置及运行维护费</w:t>
      </w:r>
      <w:r>
        <w:rPr>
          <w:rFonts w:ascii="仿宋_GB2312" w:eastAsia="仿宋_GB2312"/>
          <w:sz w:val="32"/>
          <w:szCs w:val="32"/>
          <w:highlight w:val="none"/>
        </w:rPr>
        <w:t>与上年一致无变化</w:t>
      </w:r>
      <w:r>
        <w:rPr>
          <w:rFonts w:ascii="仿宋_GB2312" w:eastAsia="仿宋_GB2312"/>
          <w:b w:val="0"/>
          <w:sz w:val="32"/>
          <w:szCs w:val="32"/>
        </w:rPr>
        <w:t>；公务接待费支出0.00万元，占0.00%，与上年相比无变化，主要原因是：</w:t>
      </w:r>
      <w:r>
        <w:rPr>
          <w:rFonts w:ascii="仿宋_GB2312" w:eastAsia="仿宋_GB2312"/>
          <w:b w:val="0"/>
          <w:sz w:val="32"/>
          <w:szCs w:val="32"/>
          <w:highlight w:val="none"/>
        </w:rPr>
        <w:t>我单位</w:t>
      </w:r>
      <w:r>
        <w:rPr>
          <w:rFonts w:hint="eastAsia" w:ascii="仿宋_GB2312" w:eastAsia="仿宋_GB2312"/>
          <w:b w:val="0"/>
          <w:sz w:val="32"/>
          <w:szCs w:val="32"/>
          <w:highlight w:val="none"/>
          <w:lang w:val="en-US" w:eastAsia="zh-CN"/>
        </w:rPr>
        <w:t>2024年度与2025年度均未安排</w:t>
      </w:r>
      <w:r>
        <w:rPr>
          <w:rFonts w:ascii="仿宋_GB2312" w:eastAsia="仿宋_GB2312"/>
          <w:b w:val="0"/>
          <w:sz w:val="32"/>
          <w:szCs w:val="32"/>
          <w:highlight w:val="none"/>
        </w:rPr>
        <w:t>公务接待费</w:t>
      </w:r>
      <w:r>
        <w:rPr>
          <w:rFonts w:ascii="仿宋_GB2312" w:eastAsia="仿宋_GB2312"/>
          <w:b w:val="0"/>
          <w:sz w:val="32"/>
          <w:szCs w:val="32"/>
        </w:rPr>
        <w:t>。</w:t>
      </w:r>
    </w:p>
    <w:p w14:paraId="3854D3CF">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14:paraId="465A4F3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因公出国（境）费用0.00万元，开支内容包括</w:t>
      </w:r>
      <w:r>
        <w:rPr>
          <w:rFonts w:hint="eastAsia" w:ascii="仿宋_GB2312" w:eastAsia="仿宋_GB2312"/>
          <w:b w:val="0"/>
          <w:sz w:val="32"/>
          <w:szCs w:val="32"/>
          <w:highlight w:val="none"/>
          <w:lang w:val="en-US" w:eastAsia="zh-CN"/>
        </w:rPr>
        <w:t>我单位无因公出国（境）费</w:t>
      </w:r>
      <w:r>
        <w:rPr>
          <w:rFonts w:ascii="仿宋_GB2312" w:eastAsia="仿宋_GB2312"/>
          <w:b w:val="0"/>
          <w:sz w:val="32"/>
          <w:szCs w:val="32"/>
        </w:rPr>
        <w:t>。单位全年安排的因公出国（境）团组0个，因公出国（境）0人次。</w:t>
      </w:r>
    </w:p>
    <w:p w14:paraId="0C8BC1B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公务用车购置及运行维护费1.02万元，其中：公务用车购置费0.00万元，公务用车运行维护费1.02万元。公务用车运行维护费开支内容包括</w:t>
      </w:r>
      <w:r>
        <w:rPr>
          <w:rFonts w:hint="eastAsia" w:ascii="仿宋_GB2312" w:eastAsia="仿宋_GB2312"/>
          <w:b w:val="0"/>
          <w:sz w:val="32"/>
          <w:szCs w:val="32"/>
          <w:lang w:val="en-US" w:eastAsia="zh-CN"/>
        </w:rPr>
        <w:t>燃料费、维修费、保险费、过桥过路费等</w:t>
      </w:r>
      <w:r>
        <w:rPr>
          <w:rFonts w:ascii="仿宋_GB2312" w:eastAsia="仿宋_GB2312"/>
          <w:b w:val="0"/>
          <w:sz w:val="32"/>
          <w:szCs w:val="32"/>
        </w:rPr>
        <w:t>。公务用车购置数0辆，公务用车保有量1辆。国有资产占用情况中固定资产车辆1辆，与公务用车保有量差异原因是：</w:t>
      </w:r>
      <w:r>
        <w:rPr>
          <w:rFonts w:hint="eastAsia" w:ascii="仿宋_GB2312" w:eastAsia="仿宋_GB2312"/>
          <w:sz w:val="32"/>
          <w:szCs w:val="32"/>
        </w:rPr>
        <w:t>本单位公务用车保有量与固定资产车辆一致无差异</w:t>
      </w:r>
      <w:r>
        <w:rPr>
          <w:rFonts w:ascii="仿宋_GB2312" w:eastAsia="仿宋_GB2312"/>
          <w:b w:val="0"/>
          <w:sz w:val="32"/>
          <w:szCs w:val="32"/>
        </w:rPr>
        <w:t>。</w:t>
      </w:r>
    </w:p>
    <w:p w14:paraId="34577DD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b w:val="0"/>
          <w:sz w:val="32"/>
          <w:szCs w:val="32"/>
          <w:highlight w:val="none"/>
          <w:lang w:val="en-US" w:eastAsia="zh-CN"/>
        </w:rPr>
        <w:t>我单位无公务接待费</w:t>
      </w:r>
      <w:r>
        <w:rPr>
          <w:rFonts w:ascii="仿宋_GB2312" w:eastAsia="仿宋_GB2312"/>
          <w:b w:val="0"/>
          <w:sz w:val="32"/>
          <w:szCs w:val="32"/>
        </w:rPr>
        <w:t>。单位全年安排的国内公务接待0批次，0人次。</w:t>
      </w:r>
    </w:p>
    <w:p w14:paraId="0040DED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与全年预算相比，财政拨款“三公”经费支出全年预算数1.02万元，决算数1.02万元，预决算差异率0.00%，主要原因是：</w:t>
      </w:r>
      <w:r>
        <w:rPr>
          <w:rFonts w:hint="eastAsia" w:ascii="仿宋_GB2312" w:eastAsia="仿宋_GB2312"/>
          <w:sz w:val="32"/>
          <w:szCs w:val="32"/>
          <w:highlight w:val="none"/>
        </w:rPr>
        <w:t>严格按照预算执行，预决算无差异</w:t>
      </w:r>
      <w:r>
        <w:rPr>
          <w:rFonts w:ascii="仿宋_GB2312" w:eastAsia="仿宋_GB2312"/>
          <w:b w:val="0"/>
          <w:sz w:val="32"/>
          <w:szCs w:val="32"/>
        </w:rPr>
        <w:t>。其中：因公出国（境）费用全年预算数0.00万元，决算数0.00万元，预决算差异率0.00%，主要原因是</w:t>
      </w:r>
      <w:r>
        <w:rPr>
          <w:rFonts w:hint="eastAsia" w:ascii="仿宋_GB2312" w:eastAsia="仿宋_GB2312"/>
          <w:b w:val="0"/>
          <w:sz w:val="32"/>
          <w:szCs w:val="32"/>
          <w:lang w:eastAsia="zh-CN"/>
        </w:rPr>
        <w:t>：</w:t>
      </w:r>
      <w:r>
        <w:rPr>
          <w:rFonts w:hint="eastAsia" w:ascii="仿宋_GB2312" w:eastAsia="仿宋_GB2312"/>
          <w:b w:val="0"/>
          <w:sz w:val="32"/>
          <w:szCs w:val="32"/>
          <w:highlight w:val="none"/>
          <w:lang w:val="en-US" w:eastAsia="zh-CN"/>
        </w:rPr>
        <w:t>本单位无</w:t>
      </w:r>
      <w:r>
        <w:rPr>
          <w:rFonts w:ascii="仿宋_GB2312" w:eastAsia="仿宋_GB2312"/>
          <w:b w:val="0"/>
          <w:sz w:val="32"/>
          <w:szCs w:val="32"/>
          <w:highlight w:val="none"/>
        </w:rPr>
        <w:t>因公出国（境）费</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b w:val="0"/>
          <w:sz w:val="32"/>
          <w:szCs w:val="32"/>
          <w:highlight w:val="none"/>
          <w:lang w:val="en-US" w:eastAsia="zh-CN"/>
        </w:rPr>
        <w:t>本单位无</w:t>
      </w:r>
      <w:r>
        <w:rPr>
          <w:rFonts w:ascii="仿宋_GB2312" w:eastAsia="仿宋_GB2312"/>
          <w:b w:val="0"/>
          <w:sz w:val="32"/>
          <w:szCs w:val="32"/>
          <w:highlight w:val="none"/>
        </w:rPr>
        <w:t>公务用车购置费</w:t>
      </w:r>
      <w:r>
        <w:rPr>
          <w:rFonts w:ascii="仿宋_GB2312" w:eastAsia="仿宋_GB2312"/>
          <w:b w:val="0"/>
          <w:sz w:val="32"/>
          <w:szCs w:val="32"/>
        </w:rPr>
        <w:t>；公务用车运行维护费全年预算数1.02万元，决算数1.02万元，预决算差异率0.00%，主要原因是：</w:t>
      </w:r>
      <w:r>
        <w:rPr>
          <w:rFonts w:hint="eastAsia" w:ascii="仿宋_GB2312" w:eastAsia="仿宋_GB2312"/>
          <w:sz w:val="32"/>
          <w:szCs w:val="32"/>
          <w:highlight w:val="none"/>
        </w:rPr>
        <w:t>严格按照预算执行，预决算无差异</w:t>
      </w:r>
      <w:r>
        <w:rPr>
          <w:rFonts w:ascii="仿宋_GB2312" w:eastAsia="仿宋_GB2312"/>
          <w:b w:val="0"/>
          <w:sz w:val="32"/>
          <w:szCs w:val="32"/>
        </w:rPr>
        <w:t>；公务接待费全年预算数0.00万元，决算数0.00万元，预决算差异率0.00%，主要原因是：</w:t>
      </w:r>
      <w:r>
        <w:rPr>
          <w:rFonts w:hint="eastAsia" w:ascii="仿宋_GB2312" w:eastAsia="仿宋_GB2312"/>
          <w:b w:val="0"/>
          <w:sz w:val="32"/>
          <w:szCs w:val="32"/>
          <w:highlight w:val="none"/>
          <w:lang w:val="en-US" w:eastAsia="zh-CN"/>
        </w:rPr>
        <w:t>我单位无公务接待费</w:t>
      </w:r>
      <w:r>
        <w:rPr>
          <w:rFonts w:ascii="仿宋_GB2312" w:eastAsia="仿宋_GB2312"/>
          <w:b w:val="0"/>
          <w:sz w:val="32"/>
          <w:szCs w:val="32"/>
        </w:rPr>
        <w:t>。</w:t>
      </w:r>
    </w:p>
    <w:p w14:paraId="644DD372">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14:paraId="24528868">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14:paraId="79D1E2B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2025年度新疆维吾尔自治区科学技术厅机关服务中心（事业单位）公用经费支出24.76万元，比上年增加1.37万元，增长5.86%，主要原因是：</w:t>
      </w:r>
      <w:r>
        <w:rPr>
          <w:rFonts w:hint="eastAsia" w:ascii="仿宋_GB2312" w:eastAsia="仿宋_GB2312"/>
          <w:b w:val="0"/>
          <w:sz w:val="32"/>
          <w:szCs w:val="32"/>
          <w:highlight w:val="none"/>
        </w:rPr>
        <w:t>2025年办公取暖费单价上调，取暖费支出增加，导致公用经费较上年有所增长。</w:t>
      </w:r>
    </w:p>
    <w:p w14:paraId="46C737EB">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14:paraId="4162CCA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2025年度政府采购支出总额2.80万元，其中：政府采购货物支出1.93万元、政府采购工程支出0.00万元、政府采购服务支出0.87万元。</w:t>
      </w:r>
    </w:p>
    <w:p w14:paraId="78FBB6A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授予中小企业合同金额2.71万元，占政府采购支出总额的96.79%，其中：授予小微企业合同金额1.71万元，占政府采购支出总额的61.07%。</w:t>
      </w:r>
    </w:p>
    <w:p w14:paraId="33CB382D">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14:paraId="3638D7B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2025年12月31日，房屋2,298.14平方米，价值261.00万元。车辆1辆，价值18.07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w:t>
      </w:r>
    </w:p>
    <w:p w14:paraId="41993F66">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14:paraId="3BD3788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b w:val="0"/>
          <w:sz w:val="32"/>
          <w:szCs w:val="32"/>
        </w:rPr>
      </w:pPr>
      <w:r>
        <w:rPr>
          <w:rFonts w:ascii="仿宋_GB2312" w:eastAsia="仿宋_GB2312"/>
          <w:b w:val="0"/>
          <w:sz w:val="32"/>
          <w:szCs w:val="32"/>
        </w:rPr>
        <w:t>根据预算绩效管理要求，本单位2025年度预算绩效评价项目</w:t>
      </w:r>
      <w:r>
        <w:rPr>
          <w:rFonts w:hint="eastAsia" w:ascii="仿宋_GB2312" w:eastAsia="仿宋_GB2312"/>
          <w:b w:val="0"/>
          <w:sz w:val="32"/>
          <w:szCs w:val="32"/>
          <w:lang w:val="en-US" w:eastAsia="zh-CN"/>
        </w:rPr>
        <w:t>1</w:t>
      </w:r>
      <w:r>
        <w:rPr>
          <w:rFonts w:ascii="仿宋_GB2312" w:eastAsia="仿宋_GB2312"/>
          <w:b w:val="0"/>
          <w:sz w:val="32"/>
          <w:szCs w:val="32"/>
        </w:rPr>
        <w:t>个，全年预算数</w:t>
      </w:r>
      <w:r>
        <w:rPr>
          <w:rFonts w:hint="eastAsia" w:ascii="仿宋_GB2312" w:eastAsia="仿宋_GB2312"/>
          <w:b w:val="0"/>
          <w:sz w:val="32"/>
          <w:szCs w:val="32"/>
          <w:lang w:val="en-US" w:eastAsia="zh-CN"/>
        </w:rPr>
        <w:t>158.00</w:t>
      </w:r>
      <w:r>
        <w:rPr>
          <w:rFonts w:ascii="仿宋_GB2312" w:eastAsia="仿宋_GB2312"/>
          <w:b w:val="0"/>
          <w:sz w:val="32"/>
          <w:szCs w:val="32"/>
        </w:rPr>
        <w:t>万元，全年执行数</w:t>
      </w:r>
      <w:r>
        <w:rPr>
          <w:rFonts w:hint="eastAsia" w:ascii="仿宋_GB2312" w:eastAsia="仿宋_GB2312"/>
          <w:b w:val="0"/>
          <w:sz w:val="32"/>
          <w:szCs w:val="32"/>
          <w:lang w:val="en-US" w:eastAsia="zh-CN"/>
        </w:rPr>
        <w:t>113.91</w:t>
      </w:r>
      <w:r>
        <w:rPr>
          <w:rFonts w:ascii="仿宋_GB2312" w:eastAsia="仿宋_GB2312"/>
          <w:b w:val="0"/>
          <w:sz w:val="32"/>
          <w:szCs w:val="32"/>
        </w:rPr>
        <w:t>万元。预算绩效管理取得的成效：一是确保资金的高效使用，切实发挥资金的使用</w:t>
      </w:r>
      <w:r>
        <w:rPr>
          <w:rFonts w:hint="eastAsia" w:ascii="仿宋_GB2312" w:eastAsia="仿宋_GB2312"/>
          <w:b w:val="0"/>
          <w:sz w:val="32"/>
          <w:szCs w:val="32"/>
          <w:lang w:eastAsia="zh-CN"/>
        </w:rPr>
        <w:t>作用</w:t>
      </w:r>
      <w:r>
        <w:rPr>
          <w:rFonts w:ascii="仿宋_GB2312" w:eastAsia="仿宋_GB2312"/>
          <w:b w:val="0"/>
          <w:sz w:val="32"/>
          <w:szCs w:val="32"/>
        </w:rPr>
        <w:t>；二是严格按照工作职责和相关文件依据，确保专款专用；三是严格控制资金的流出方向，确保资金的合规性</w:t>
      </w:r>
      <w:r>
        <w:rPr>
          <w:rFonts w:hint="eastAsia" w:ascii="仿宋_GB2312" w:eastAsia="仿宋_GB2312"/>
          <w:b w:val="0"/>
          <w:sz w:val="32"/>
          <w:szCs w:val="32"/>
          <w:lang w:eastAsia="zh-CN"/>
        </w:rPr>
        <w:t>。</w:t>
      </w:r>
      <w:r>
        <w:rPr>
          <w:rFonts w:ascii="仿宋_GB2312" w:eastAsia="仿宋_GB2312"/>
          <w:b w:val="0"/>
          <w:sz w:val="32"/>
          <w:szCs w:val="32"/>
        </w:rPr>
        <w:t>发现的问题及原因</w:t>
      </w:r>
      <w:r>
        <w:rPr>
          <w:rFonts w:hint="eastAsia" w:ascii="仿宋_GB2312" w:eastAsia="仿宋_GB2312"/>
          <w:b w:val="0"/>
          <w:sz w:val="32"/>
          <w:szCs w:val="32"/>
          <w:lang w:eastAsia="zh-CN"/>
        </w:rPr>
        <w:t>：一是部分绩效指标设定科学性和精细化程度有待提高；二是绩效运行监控的时效性和针对性需进一步加强；三是成本控制机制尚不够完善，精细化管理水平仍有提升空间。</w:t>
      </w:r>
      <w:r>
        <w:rPr>
          <w:rFonts w:ascii="仿宋_GB2312" w:eastAsia="仿宋_GB2312"/>
          <w:b w:val="0"/>
          <w:sz w:val="32"/>
          <w:szCs w:val="32"/>
        </w:rPr>
        <w:t>发现的问题及原因：</w:t>
      </w:r>
      <w:r>
        <w:rPr>
          <w:rFonts w:hint="eastAsia" w:ascii="仿宋_GB2312" w:eastAsia="仿宋_GB2312"/>
          <w:b w:val="0"/>
          <w:sz w:val="32"/>
          <w:szCs w:val="32"/>
          <w:lang w:eastAsia="zh-CN"/>
        </w:rPr>
        <w:t>一是部分绩效指标设定科学性和精细化程度有待提高；二是绩效运行监控的时效性和针对性需进一步加强；三是成本控制机制尚不够完善，精细化管理水平仍有提升空间。</w:t>
      </w:r>
      <w:r>
        <w:rPr>
          <w:rFonts w:ascii="仿宋_GB2312" w:eastAsia="仿宋_GB2312"/>
          <w:b w:val="0"/>
          <w:sz w:val="32"/>
          <w:szCs w:val="32"/>
        </w:rPr>
        <w:t>下一步改进措施</w:t>
      </w:r>
      <w:r>
        <w:rPr>
          <w:rFonts w:hint="eastAsia" w:ascii="仿宋_GB2312" w:eastAsia="仿宋_GB2312"/>
          <w:b w:val="0"/>
          <w:sz w:val="32"/>
          <w:szCs w:val="32"/>
          <w:lang w:eastAsia="zh-CN"/>
        </w:rPr>
        <w:t>：</w:t>
      </w:r>
      <w:r>
        <w:rPr>
          <w:rFonts w:hint="eastAsia" w:ascii="仿宋_GB2312" w:eastAsia="仿宋_GB2312"/>
          <w:b w:val="0"/>
          <w:sz w:val="32"/>
          <w:szCs w:val="32"/>
        </w:rPr>
        <w:t>一是科学细化绩效目标设置，增强指标可衡量性和约束力；二是加强绩效运行双监控，建立季度分析预警机制；三是强化评价结果与预算安排挂钩，落实“花钱必问效”要求；四是加强绩效管理业务培训，提升相关人员专业能力。</w:t>
      </w:r>
      <w:r>
        <w:rPr>
          <w:rFonts w:ascii="仿宋_GB2312" w:eastAsia="仿宋_GB2312"/>
          <w:b w:val="0"/>
          <w:sz w:val="32"/>
          <w:szCs w:val="32"/>
        </w:rPr>
        <w:t>具体附项目支出绩效自评表。</w:t>
      </w:r>
    </w:p>
    <w:p w14:paraId="67E18FCD">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14:paraId="275BBDE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本单位无其他需说明的事项。</w:t>
      </w:r>
    </w:p>
    <w:p w14:paraId="66551E62">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46EB1272">
      <w:pPr>
        <w:widowControl/>
      </w:pPr>
      <w:r>
        <w:rPr>
          <w:b w:val="0"/>
          <w:sz w:val="0"/>
          <w:szCs w:val="0"/>
        </w:rPr>
        <w:br w:type="page"/>
      </w:r>
    </w:p>
    <w:p w14:paraId="7A254013">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14:paraId="06546A7C">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14:paraId="2B696B4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3B565059">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14:paraId="2598BB21">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5BE4F617">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14:paraId="2E04C9DC">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14:paraId="00F888D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14:paraId="55C0688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14:paraId="501C4C34">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14:paraId="0C25CE56">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14:paraId="4444BD8F">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14:paraId="1DFBF1DA">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14:paraId="0524D706">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14:paraId="032B6E23">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14:paraId="2741550E">
      <w:pPr>
        <w:widowControl/>
        <w:spacing w:before="0" w:beforeLines="0" w:beforeAutospacing="0" w:after="0" w:afterLines="0" w:afterAutospacing="0" w:line="240" w:lineRule="auto"/>
        <w:ind w:firstLine="643"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14:paraId="4D627056">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0B59D562">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14:paraId="4DF76CCC">
      <w:pPr>
        <w:widowControl/>
      </w:pPr>
      <w:r>
        <w:rPr>
          <w:b w:val="0"/>
          <w:sz w:val="0"/>
          <w:szCs w:val="0"/>
        </w:rPr>
        <w:br w:type="page"/>
      </w:r>
    </w:p>
    <w:p w14:paraId="3B53E66A">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14:paraId="60F26D65">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428ECB56">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2C25D85E">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1A0D6FFB">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4ADBE7B3">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501C5AB4">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59B28F2F">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2BFD23F5">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7CBAFDE4">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w:t>
      </w:r>
      <w:bookmarkStart w:id="0" w:name="_GoBack"/>
      <w:bookmarkEnd w:id="0"/>
      <w:r>
        <w:rPr>
          <w:rFonts w:ascii="仿宋_GB2312" w:eastAsia="仿宋_GB2312"/>
          <w:b w:val="0"/>
          <w:sz w:val="32"/>
          <w:szCs w:val="32"/>
        </w:rPr>
        <w:t>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00000000"/>
    <w:rsid w:val="06B42AFC"/>
    <w:rsid w:val="0B501BE9"/>
    <w:rsid w:val="110F1FDD"/>
    <w:rsid w:val="14C42677"/>
    <w:rsid w:val="2F6F525C"/>
    <w:rsid w:val="30D31FF3"/>
    <w:rsid w:val="37FB5941"/>
    <w:rsid w:val="40003051"/>
    <w:rsid w:val="4E157012"/>
    <w:rsid w:val="5C497FFB"/>
    <w:rsid w:val="75080B4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qFormat="1"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8">
    <w:name w:val="annotation text"/>
    <w:basedOn w:val="1"/>
    <w:semiHidden/>
    <w:unhideWhenUsed/>
    <w:qFormat/>
    <w:uiPriority w:val="99"/>
    <w:pPr>
      <w:jc w:val="left"/>
    </w:p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14:textFill>
        <w14:solidFill>
          <w14:schemeClr w14:val="hlink"/>
        </w14:solidFill>
      </w14:textFill>
    </w:rPr>
  </w:style>
  <w:style w:type="character" w:customStyle="1" w:styleId="17">
    <w:name w:val="Header Char"/>
    <w:basedOn w:val="14"/>
    <w:link w:val="9"/>
    <w:qFormat/>
    <w:uiPriority w:val="99"/>
  </w:style>
  <w:style w:type="character" w:customStyle="1" w:styleId="18">
    <w:name w:val="Heading 1 Char"/>
    <w:basedOn w:val="14"/>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19">
    <w:name w:val="Heading 2 Char"/>
    <w:basedOn w:val="14"/>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20">
    <w:name w:val="Heading 3 Char"/>
    <w:basedOn w:val="14"/>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1">
    <w:name w:val="Heading 4 Char"/>
    <w:basedOn w:val="14"/>
    <w:link w:val="5"/>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2">
    <w:name w:val="Subtitle Char"/>
    <w:basedOn w:val="14"/>
    <w:link w:val="10"/>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3">
    <w:name w:val="Title Char"/>
    <w:basedOn w:val="14"/>
    <w:link w:val="11"/>
    <w:qFormat/>
    <w:uiPriority w:val="10"/>
    <w:rPr>
      <w:rFonts w:asciiTheme="majorHAnsi" w:hAnsiTheme="majorHAnsi" w:eastAsiaTheme="majorEastAsia" w:cstheme="majorBidi"/>
      <w:color w:val="17375E"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13</Pages>
  <Words>5015</Words>
  <Characters>5522</Characters>
  <TotalTime>13</TotalTime>
  <ScaleCrop>false</ScaleCrop>
  <LinksUpToDate>false</LinksUpToDate>
  <CharactersWithSpaces>5529</CharactersWithSpaces>
  <Application>WPS Office_12.1.0.18608_F1E327BC-269C-435d-A152-05C5408002CA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2026-08-24T10:59:00Z</dcterms:created>
  <dc:creator>Administrator</dc:creator>
  <cp:lastModifiedBy>雨。</cp:lastModifiedBy>
  <cp:lastPrinted>2026-08-24T12:13:00Z</cp:lastPrinted>
  <dcterms:modified xsi:type="dcterms:W3CDTF">2026-08-29T15:01:53Z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D207B1EC24D849B1A3EB2862DD79288E_13</vt:lpwstr>
  </property>
  <property fmtid="{D5CDD505-2E9C-101B-9397-08002B2CF9AE}" pid="4" name="KSOTemplateDocerSaveRecord">
    <vt:lpwstr>eyJoZGlkIjoiOTI3NDg4ZmU1MzI0ZmRmMzNlNDA0NWNkNjFiYzI0MmIiLCJ1c2VySWQiOiI4OTc2NDY5NjgifQ==</vt:lpwstr>
  </property>
</Properties>
</file>