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A0FD0E">
      <w:pPr>
        <w:widowControl/>
        <w:spacing w:before="0" w:beforeLines="0" w:beforeAutospacing="0" w:after="0" w:afterLines="0" w:afterAutospacing="0" w:line="240" w:lineRule="auto"/>
        <w:jc w:val="left"/>
        <w:rPr>
          <w:rFonts w:ascii="宋体" w:eastAsia="宋体"/>
          <w:sz w:val="32"/>
          <w:szCs w:val="32"/>
        </w:rPr>
      </w:pPr>
    </w:p>
    <w:p w14:paraId="408CEEA6">
      <w:pPr>
        <w:widowControl/>
        <w:spacing w:before="0" w:beforeLines="0" w:beforeAutospacing="0" w:after="0" w:afterLines="0" w:afterAutospacing="0" w:line="240" w:lineRule="auto"/>
        <w:jc w:val="left"/>
        <w:rPr>
          <w:rFonts w:ascii="宋体" w:eastAsia="宋体"/>
          <w:sz w:val="44"/>
          <w:szCs w:val="44"/>
        </w:rPr>
      </w:pPr>
    </w:p>
    <w:p w14:paraId="7446BEF7">
      <w:pPr>
        <w:widowControl/>
        <w:spacing w:before="0" w:beforeLines="0" w:beforeAutospacing="0" w:after="0" w:afterLines="0" w:afterAutospacing="0" w:line="240" w:lineRule="auto"/>
        <w:jc w:val="left"/>
        <w:rPr>
          <w:rFonts w:ascii="宋体" w:eastAsia="宋体"/>
          <w:sz w:val="44"/>
          <w:szCs w:val="44"/>
        </w:rPr>
      </w:pPr>
    </w:p>
    <w:p w14:paraId="58F565D4">
      <w:pPr>
        <w:widowControl/>
        <w:spacing w:before="0" w:beforeLines="0" w:beforeAutospacing="0" w:after="0" w:afterLines="0" w:afterAutospacing="0" w:line="240" w:lineRule="auto"/>
        <w:jc w:val="left"/>
        <w:rPr>
          <w:rFonts w:ascii="宋体" w:eastAsia="宋体"/>
          <w:sz w:val="44"/>
          <w:szCs w:val="44"/>
        </w:rPr>
      </w:pPr>
    </w:p>
    <w:p w14:paraId="0DCBA873">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新疆维吾尔自治区专家顾问团决策咨询中心</w:t>
      </w:r>
    </w:p>
    <w:p w14:paraId="568810C9">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2025年度部门决算公开说明</w:t>
      </w:r>
    </w:p>
    <w:p w14:paraId="72F6C09B">
      <w:pPr>
        <w:widowControl/>
      </w:pPr>
      <w:r>
        <w:rPr>
          <w:b w:val="0"/>
          <w:sz w:val="0"/>
          <w:szCs w:val="0"/>
        </w:rPr>
        <w:br w:type="page"/>
      </w:r>
    </w:p>
    <w:p w14:paraId="3BC257A5">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14:paraId="2C83693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14:paraId="5F1EBAE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14:paraId="38EB2D0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w:t>
      </w:r>
    </w:p>
    <w:p w14:paraId="339651D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14:paraId="7A67FB5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14:paraId="660A585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14:paraId="5E9FECD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14:paraId="369252B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14:paraId="65CB96B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14:paraId="553C837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14:paraId="4610311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14:paraId="6B08087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14:paraId="11ED416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14:paraId="6E3A3AA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14:paraId="2E5319D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06C9771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14:paraId="681AE37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14:paraId="52BC419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14:paraId="4C21C88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14:paraId="3CF2AA4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14:paraId="25B32F9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14:paraId="606813D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14:paraId="3FD7F48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14:paraId="211C044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14:paraId="2D8BA31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14:paraId="2C92D6E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14:paraId="2368557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14:paraId="765ABDA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14:paraId="5B158EC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14:paraId="02689C4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14:paraId="670B469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14:paraId="1A5FDB5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14:paraId="547AE30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14:paraId="19C6E0F8">
      <w:pPr>
        <w:widowControl/>
      </w:pPr>
      <w:r>
        <w:rPr>
          <w:b w:val="0"/>
          <w:sz w:val="0"/>
          <w:szCs w:val="0"/>
        </w:rPr>
        <w:br w:type="page"/>
      </w:r>
    </w:p>
    <w:p w14:paraId="0D6CE77D">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14:paraId="7BD1FCBC">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14:paraId="2B56037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专家顾问团决策咨询中心的职责是围绕自治区经济社会发展中重要决策部署的制定实施开展研究论证，提供咨询建议，优化决策思路，完善工作措施。主要业务方向对自治区发展战略、发展规划、发展重点以及改革、稳定、发展中的重点、难点、热点问题提出咨询意见和建议并及时上报自治区党委、自治区人民政府；负责与专家顾问团各专业组的工作联系，协调安排有关调研咨询活动；指导协调地州市、县专家顾问团的工作，组织开展跨地区、跨行业、跨专业的咨询调研活动；负责自治区决策研究与咨询项目计划的编制和管理工作；组织专家顾问为地州市、县、行业提供咨询服务；负责与全国各省、区咨询委或顾问团的工作联系。</w:t>
      </w:r>
    </w:p>
    <w:p w14:paraId="10FF031E">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w:t>
      </w:r>
    </w:p>
    <w:p w14:paraId="1AA4025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新疆维吾尔自治区专家顾问团决策咨询中心无下属预算单位。</w:t>
      </w:r>
    </w:p>
    <w:p w14:paraId="5571E053">
      <w:pPr>
        <w:widowControl/>
      </w:pPr>
      <w:r>
        <w:rPr>
          <w:b w:val="0"/>
          <w:sz w:val="0"/>
          <w:szCs w:val="0"/>
        </w:rPr>
        <w:br w:type="page"/>
      </w:r>
    </w:p>
    <w:p w14:paraId="61858B24">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14:paraId="68383D8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14:paraId="0F54F16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2025年度收入总计523.39万元，其中：本年收入合计523.14万元，使用非财政拨款结余（含专用结余）0.00万元，年初结转和结余0.26万元。</w:t>
      </w:r>
    </w:p>
    <w:p w14:paraId="3261A92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2025年度支出总计523.39万元，其中：本年支出合计523.14万元，结余分配0.00万元，年末结转和结余0.25万元。</w:t>
      </w:r>
    </w:p>
    <w:p w14:paraId="3787D66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收入支出总体与上年相比，增加16.71万元，增长3.30%，主要原因是：本年在职人员工资调增，社保、公积金基数调增，人员经费增加。</w:t>
      </w:r>
    </w:p>
    <w:p w14:paraId="19811416">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14:paraId="3057148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本年收入523.14万元，其中：财政拨款收入523.07万元,占99.99%；上级补助收入0.00万元,占0.00%；事业收入0.00万元，占0.00%；经营收入0.00万元,占0.00%；附属单位上缴收入0.00万元，占0.00%；其他收入0.07万元，占0.01%。</w:t>
      </w:r>
    </w:p>
    <w:p w14:paraId="3B6D5BF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14:paraId="0969B01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本年支出523.14万元，其中：基本支出223.07万元，占42.64%；项目支出300.07万元，占57.36%；上缴上级支出0.00万元，占0.00%；经营支出0.00万元，占0.00%；对附属单位补助支出0.00万元，占0.00%。</w:t>
      </w:r>
    </w:p>
    <w:p w14:paraId="54DDDC0C">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14:paraId="45CA458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2025年度财政拨款收入总计523.07万元，其中：年初财政拨款结转和结余0.00万元，本年财政拨款收入523.07万元。财政拨款支出总计523.07万元，其中：年末财政拨款结转和结余0.00万元，本年财政拨款支出523.07万元。</w:t>
      </w:r>
    </w:p>
    <w:p w14:paraId="17DA336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16.93万元，增长3.34%，主要原因是：本年在职人员工资调增，社保、公积金基数调增，人员经费增加。与年初预算相比，年初预算数480.88万元，决算数523.07万元，预决算差异率8.77%，主要原因是：年中追加人员工资、社保、公积金基数调增部分资金</w:t>
      </w:r>
      <w:r>
        <w:rPr>
          <w:rFonts w:hint="eastAsia" w:ascii="仿宋_GB2312" w:eastAsia="仿宋_GB2312"/>
          <w:b w:val="0"/>
          <w:sz w:val="32"/>
          <w:szCs w:val="32"/>
          <w:lang w:eastAsia="zh-CN"/>
        </w:rPr>
        <w:t>，</w:t>
      </w:r>
      <w:r>
        <w:rPr>
          <w:rFonts w:ascii="仿宋_GB2312" w:eastAsia="仿宋_GB2312"/>
          <w:b w:val="0"/>
          <w:sz w:val="32"/>
          <w:szCs w:val="32"/>
        </w:rPr>
        <w:t>导致预决算存在差异。</w:t>
      </w:r>
    </w:p>
    <w:p w14:paraId="4E6748E7">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14:paraId="5B737A4C">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w:t>
      </w:r>
      <w:r>
        <w:rPr>
          <w:rFonts w:hint="eastAsia" w:ascii="仿宋_GB2312" w:eastAsia="仿宋_GB2312"/>
          <w:b w:val="0"/>
          <w:sz w:val="32"/>
          <w:szCs w:val="32"/>
          <w:lang w:val="en-US" w:eastAsia="zh-CN"/>
        </w:rPr>
        <w:t>机构运行、公共服务</w:t>
      </w:r>
      <w:r>
        <w:rPr>
          <w:rFonts w:ascii="仿宋_GB2312" w:eastAsia="仿宋_GB2312"/>
          <w:b w:val="0"/>
          <w:sz w:val="32"/>
          <w:szCs w:val="32"/>
        </w:rPr>
        <w:t>等重点支出，体现在有关支出科目中。</w:t>
      </w:r>
    </w:p>
    <w:p w14:paraId="7ABE0B0E">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支出功能分类，科学技术支出（类）科学技术管理事务（款）一般行政管理事务（项）的支出占本年财政拨款支出总额的比重最高，2025年度决算数为300.00万元，占比57.35%，主要用于自治区专家顾问团工作经费及活动经费。</w:t>
      </w:r>
    </w:p>
    <w:p w14:paraId="6F4B2BA7">
      <w:pPr>
        <w:widowControl/>
        <w:spacing w:before="0" w:beforeLines="0" w:beforeAutospacing="0" w:after="0" w:afterLines="0" w:afterAutospacing="0" w:line="240" w:lineRule="auto"/>
        <w:ind w:firstLine="640" w:firstLineChars="200"/>
        <w:jc w:val="both"/>
        <w:outlineLvl w:val="2"/>
        <w:rPr>
          <w:rFonts w:ascii="黑体" w:eastAsia="黑体"/>
          <w:sz w:val="32"/>
          <w:szCs w:val="32"/>
        </w:rPr>
      </w:pPr>
      <w:r>
        <w:rPr>
          <w:rFonts w:ascii="黑体" w:eastAsia="黑体"/>
          <w:b w:val="0"/>
          <w:sz w:val="32"/>
          <w:szCs w:val="32"/>
        </w:rPr>
        <w:t>（一）一般公共预算财政拨款支出决算总体情况</w:t>
      </w:r>
    </w:p>
    <w:p w14:paraId="478AA4F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支出523.07万元，占本年支出合计的99.99%。与上年相比，增加16.93万元，增长3.34%，主要原因是：本年在职人员工资调增，社保、公积金基数调增，人员经费增加。与年初预算相比，年初预算数480.88万元，决算数523.07万元，预决算差异率8.77%，主要原因是：年中追加人员工资、社保、公积金基数调增部分资金</w:t>
      </w:r>
      <w:r>
        <w:rPr>
          <w:rFonts w:hint="eastAsia" w:ascii="仿宋_GB2312" w:eastAsia="仿宋_GB2312"/>
          <w:b w:val="0"/>
          <w:sz w:val="32"/>
          <w:szCs w:val="32"/>
          <w:lang w:eastAsia="zh-CN"/>
        </w:rPr>
        <w:t>，</w:t>
      </w:r>
      <w:r>
        <w:rPr>
          <w:rFonts w:ascii="仿宋_GB2312" w:eastAsia="仿宋_GB2312"/>
          <w:b w:val="0"/>
          <w:sz w:val="32"/>
          <w:szCs w:val="32"/>
        </w:rPr>
        <w:t>导致预决算存在差异。</w:t>
      </w:r>
    </w:p>
    <w:p w14:paraId="1BB6FB17">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14:paraId="2201504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1.科学技术支出（类）523.07万元，占100.00%。</w:t>
      </w:r>
    </w:p>
    <w:p w14:paraId="4BD1B7BF">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14:paraId="3592A092">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hint="eastAsia" w:ascii="仿宋_GB2312" w:eastAsia="仿宋_GB2312"/>
          <w:b w:val="0"/>
          <w:sz w:val="32"/>
          <w:szCs w:val="32"/>
          <w:lang w:eastAsia="zh-CN"/>
        </w:rPr>
        <w:t>1.</w:t>
      </w:r>
      <w:r>
        <w:rPr>
          <w:rFonts w:ascii="仿宋_GB2312" w:eastAsia="仿宋_GB2312"/>
          <w:b w:val="0"/>
          <w:sz w:val="32"/>
          <w:szCs w:val="32"/>
        </w:rPr>
        <w:t>科学技术支出（类）科学技术管理事务（款）行政运行（项）：支出决算数为223.07万元，比上年决算增加16.93万元，增长8.21%，主要原因是：本年在职人员工资调增，社保、公积金基数调增，人员经费增加</w:t>
      </w:r>
    </w:p>
    <w:p w14:paraId="2D2EDB73">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hint="eastAsia" w:ascii="仿宋_GB2312" w:eastAsia="仿宋_GB2312"/>
          <w:b w:val="0"/>
          <w:sz w:val="32"/>
          <w:szCs w:val="32"/>
          <w:lang w:eastAsia="zh-CN"/>
        </w:rPr>
        <w:t>2.</w:t>
      </w:r>
      <w:r>
        <w:rPr>
          <w:rFonts w:ascii="仿宋_GB2312" w:eastAsia="仿宋_GB2312"/>
          <w:b w:val="0"/>
          <w:sz w:val="32"/>
          <w:szCs w:val="32"/>
        </w:rPr>
        <w:t>科学技术支出（类）科学技术管理事务（款）一般行政管理事务（项）：支出决算数为300.00万元，比上年决算增加300.00万元，增长100.00%，主要原因是：一般公共预算支出功能科目的调整，由科学技术支出（类）社会科学（款）社会科学研究（项）调整为科学技术支出（类）科学技术管理事务（款）一般行政管理事务（项）。</w:t>
      </w:r>
    </w:p>
    <w:p w14:paraId="2FF9AE15">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hint="eastAsia" w:ascii="仿宋_GB2312" w:eastAsia="仿宋_GB2312"/>
          <w:b w:val="0"/>
          <w:sz w:val="32"/>
          <w:szCs w:val="32"/>
          <w:lang w:eastAsia="zh-CN"/>
        </w:rPr>
        <w:t>3.</w:t>
      </w:r>
      <w:r>
        <w:rPr>
          <w:rFonts w:ascii="仿宋_GB2312" w:eastAsia="仿宋_GB2312"/>
          <w:b w:val="0"/>
          <w:sz w:val="32"/>
          <w:szCs w:val="32"/>
        </w:rPr>
        <w:t>科学技术支出（类）社会科学（款）社会科学研究（项）：支出决算数为0.00万元，比上年决算减少300.00万元，下降100.00%，主要原因是：一般公共预算支出功能科目的调整，由科学技术支出（类）社会科学（款）社会科学研究（项）调整为科学技术支出（类）科学技术管理事务（款）一般行政管理事务（项）。</w:t>
      </w:r>
    </w:p>
    <w:p w14:paraId="0D04601B">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14:paraId="4F1DAAD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基本支出223.07万元，其中：人员经费212.70万元，包括：基本工资、津贴补贴、奖金、机关事业单位基本养老保险缴费、职业年金缴费、职工基本医疗保险缴费、公务员医疗补助缴费、其他社会保障缴费、住房公积金、退休费和其他对个人和家庭的补助。</w:t>
      </w:r>
    </w:p>
    <w:p w14:paraId="32B0DC3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公用经费10.37万元，包括：办公费、邮电费、物业管理费、差旅费、工会经费、福利费、公务用车运行维护费和其他商品和服务支出。</w:t>
      </w:r>
    </w:p>
    <w:p w14:paraId="6A0024A0">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14:paraId="2C2B5B0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7A8E238B">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14:paraId="1F42E83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62700061">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14:paraId="449BF9D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2025年度财政拨款“三公”经费支出1.30万元，比上年增加0.00万元，增长0.00%，主要原因是：</w:t>
      </w:r>
      <w:r>
        <w:rPr>
          <w:rFonts w:hint="eastAsia" w:ascii="仿宋_GB2312" w:eastAsia="仿宋_GB2312"/>
          <w:b w:val="0"/>
          <w:sz w:val="32"/>
          <w:szCs w:val="32"/>
          <w:lang w:eastAsia="zh-CN"/>
        </w:rPr>
        <w:t>本单位</w:t>
      </w:r>
      <w:r>
        <w:rPr>
          <w:rFonts w:ascii="仿宋_GB2312" w:eastAsia="仿宋_GB2312"/>
          <w:b w:val="0"/>
          <w:sz w:val="32"/>
          <w:szCs w:val="32"/>
        </w:rPr>
        <w:t>“三公”经费与上年一致无变化。其中：因公出国（境）费用支出0.00万元,占0.00%，与上年相比无变化，主要原因是：2024年及2025年均无因公出国（境）费用支出；公务用车购置及运行维护费支出1.30万元，占100.00%，比上年增加0.00万元，增长0.00%，主要原因是：</w:t>
      </w:r>
      <w:r>
        <w:rPr>
          <w:rFonts w:hint="eastAsia" w:ascii="仿宋_GB2312" w:eastAsia="仿宋_GB2312"/>
          <w:b w:val="0"/>
          <w:sz w:val="32"/>
          <w:szCs w:val="32"/>
          <w:lang w:eastAsia="zh-CN"/>
        </w:rPr>
        <w:t>本单位</w:t>
      </w:r>
      <w:r>
        <w:rPr>
          <w:rFonts w:ascii="仿宋_GB2312" w:eastAsia="仿宋_GB2312"/>
          <w:b w:val="0"/>
          <w:sz w:val="32"/>
          <w:szCs w:val="32"/>
        </w:rPr>
        <w:t>公务用车运行维护费与上年一致无变化；公务接待费支出0.00万元，占0.00%，与上年相比无变化，主要原因是：2024年与2025年均无公务接待费支出。</w:t>
      </w:r>
    </w:p>
    <w:p w14:paraId="4A5B8F58">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14:paraId="70E3C81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因公出国（境）费用0.00万元，开支内容包括</w:t>
      </w:r>
      <w:r>
        <w:rPr>
          <w:rFonts w:hint="eastAsia" w:ascii="仿宋_GB2312" w:eastAsia="仿宋_GB2312"/>
          <w:b w:val="0"/>
          <w:sz w:val="32"/>
          <w:szCs w:val="32"/>
          <w:lang w:eastAsia="zh-CN"/>
        </w:rPr>
        <w:t>本单位</w:t>
      </w:r>
      <w:r>
        <w:rPr>
          <w:rFonts w:ascii="仿宋_GB2312" w:eastAsia="仿宋_GB2312"/>
          <w:b w:val="0"/>
          <w:sz w:val="32"/>
          <w:szCs w:val="32"/>
        </w:rPr>
        <w:t>无因公出国（境）费用。单位全年安排的因公出国（境）团组0个，因公出国（境）0人次。</w:t>
      </w:r>
    </w:p>
    <w:p w14:paraId="4E9112C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1.30万元，其中：公务用车购置费0.00万元，公务用车运行维护费1.30万元。公务用车运行维护费开支内容包括公务用车的车辆保险费、维修保养费、燃油费。公务用车购置数0辆，公务用车保有量1辆。国有资产占用情况中固定资产车辆1辆，与公务用车保有量差异原因是：本单位公务用车保有量与固定资产车辆一致无差异。</w:t>
      </w:r>
    </w:p>
    <w:p w14:paraId="73C6023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w:t>
      </w:r>
      <w:r>
        <w:rPr>
          <w:rFonts w:hint="eastAsia" w:ascii="仿宋_GB2312" w:eastAsia="仿宋_GB2312"/>
          <w:b w:val="0"/>
          <w:sz w:val="32"/>
          <w:szCs w:val="32"/>
          <w:lang w:eastAsia="zh-CN"/>
        </w:rPr>
        <w:t>本单位无公务接待费</w:t>
      </w:r>
      <w:r>
        <w:rPr>
          <w:rFonts w:ascii="仿宋_GB2312" w:eastAsia="仿宋_GB2312"/>
          <w:b w:val="0"/>
          <w:sz w:val="32"/>
          <w:szCs w:val="32"/>
        </w:rPr>
        <w:t>。单位全年安排的国内公务接待0批次，0人次。</w:t>
      </w:r>
    </w:p>
    <w:p w14:paraId="11275D1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1.30万元，决算数1.30万元，预决算差异率0.00%，主要原因是：严格按照预算执行、预决算无差异。其中：因公出国（境）费用全年预算数0.00万元，决算数0.00万元，预决算差异率0.00%，主要原因是：</w:t>
      </w:r>
      <w:r>
        <w:rPr>
          <w:rFonts w:hint="eastAsia" w:ascii="仿宋_GB2312" w:eastAsia="仿宋_GB2312"/>
          <w:b w:val="0"/>
          <w:sz w:val="32"/>
          <w:szCs w:val="32"/>
          <w:lang w:eastAsia="zh-CN"/>
        </w:rPr>
        <w:t>本单位无因公出国（境）费</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b w:val="0"/>
          <w:sz w:val="32"/>
          <w:szCs w:val="32"/>
          <w:lang w:val="en-US" w:eastAsia="zh-CN"/>
        </w:rPr>
        <w:t>本单位无</w:t>
      </w:r>
      <w:r>
        <w:rPr>
          <w:rFonts w:ascii="仿宋_GB2312" w:eastAsia="仿宋_GB2312"/>
          <w:b w:val="0"/>
          <w:sz w:val="32"/>
          <w:szCs w:val="32"/>
        </w:rPr>
        <w:t>公务用车购置费；公务用车运行维护费全年预算数1.30万元，决算数1.30万元，预决算差异率0.00%，主要原因是：严格按照预算执行、预决算无差异；公务接待费全年预算数0.00万元，决算数0.00万元，预决算差异率0.00%，主要原因是：</w:t>
      </w:r>
      <w:r>
        <w:rPr>
          <w:rFonts w:hint="eastAsia" w:ascii="仿宋_GB2312" w:eastAsia="仿宋_GB2312"/>
          <w:b w:val="0"/>
          <w:sz w:val="32"/>
          <w:szCs w:val="32"/>
          <w:lang w:val="en-US" w:eastAsia="zh-CN"/>
        </w:rPr>
        <w:t>本单位无</w:t>
      </w:r>
      <w:r>
        <w:rPr>
          <w:rFonts w:ascii="仿宋_GB2312" w:eastAsia="仿宋_GB2312"/>
          <w:b w:val="0"/>
          <w:sz w:val="32"/>
          <w:szCs w:val="32"/>
        </w:rPr>
        <w:t>公务接待费。</w:t>
      </w:r>
    </w:p>
    <w:p w14:paraId="61E0A67D">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14:paraId="23619177">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14:paraId="1D8F732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2025年度新疆维吾尔自治区专家顾问团决策咨询中心（行政单位和参照公务员法管理事业单位）机关运行经费支出10.37万元，比上年减少1.47万元，下降12.42%，主要原因是：</w:t>
      </w:r>
      <w:r>
        <w:rPr>
          <w:rFonts w:hint="eastAsia" w:ascii="仿宋_GB2312" w:eastAsia="仿宋_GB2312"/>
          <w:sz w:val="32"/>
          <w:szCs w:val="32"/>
          <w:lang w:val="en-US" w:eastAsia="zh-CN"/>
        </w:rPr>
        <w:t>一是严控经费支出，厉行节约，减少经费支出；二是工会经费、办公费减少，导致机关运行经费减少</w:t>
      </w:r>
      <w:r>
        <w:rPr>
          <w:rFonts w:ascii="仿宋_GB2312" w:eastAsia="仿宋_GB2312"/>
          <w:b w:val="0"/>
          <w:sz w:val="32"/>
          <w:szCs w:val="32"/>
        </w:rPr>
        <w:t>。</w:t>
      </w:r>
    </w:p>
    <w:p w14:paraId="5EE51665">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14:paraId="4ACBB99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2025年度政府采购支出总额7.83万元，其中：政府采购货物支出2.41万元、政府采购工程支出0.00万元、政府采购服务支出5.42万元。</w:t>
      </w:r>
    </w:p>
    <w:p w14:paraId="24B004E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授予中小企业合同金额7.83万元，占政府采购支出总额的100.00%，其中：授予小微企业合同金额7.83万元，占政府采购支出总额的100.00%。</w:t>
      </w:r>
    </w:p>
    <w:p w14:paraId="05EA47F8">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14:paraId="66310D4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2025年12月31日，房屋0.00平方米，价值0.00万元。车辆1辆，价值65.50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708A86F1">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14:paraId="79EBC61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根据预算绩效管理要求，本单位2025年度预算绩效评价项目</w:t>
      </w:r>
      <w:r>
        <w:rPr>
          <w:rFonts w:hint="eastAsia" w:ascii="仿宋_GB2312" w:eastAsia="仿宋_GB2312"/>
          <w:b w:val="0"/>
          <w:sz w:val="32"/>
          <w:szCs w:val="32"/>
          <w:lang w:val="en-US" w:eastAsia="zh-CN"/>
        </w:rPr>
        <w:t>2</w:t>
      </w:r>
      <w:r>
        <w:rPr>
          <w:rFonts w:ascii="仿宋_GB2312" w:eastAsia="仿宋_GB2312"/>
          <w:b w:val="0"/>
          <w:sz w:val="32"/>
          <w:szCs w:val="32"/>
        </w:rPr>
        <w:t>个，全年预算数3</w:t>
      </w:r>
      <w:r>
        <w:rPr>
          <w:rFonts w:hint="eastAsia" w:ascii="仿宋_GB2312" w:eastAsia="仿宋_GB2312"/>
          <w:b w:val="0"/>
          <w:sz w:val="32"/>
          <w:szCs w:val="32"/>
          <w:lang w:val="en-US" w:eastAsia="zh-CN"/>
        </w:rPr>
        <w:t>13</w:t>
      </w:r>
      <w:r>
        <w:rPr>
          <w:rFonts w:ascii="仿宋_GB2312" w:eastAsia="仿宋_GB2312"/>
          <w:b w:val="0"/>
          <w:sz w:val="32"/>
          <w:szCs w:val="32"/>
        </w:rPr>
        <w:t>.00万元，全年执行数3</w:t>
      </w:r>
      <w:r>
        <w:rPr>
          <w:rFonts w:hint="eastAsia" w:ascii="仿宋_GB2312" w:eastAsia="仿宋_GB2312"/>
          <w:b w:val="0"/>
          <w:sz w:val="32"/>
          <w:szCs w:val="32"/>
          <w:lang w:val="en-US" w:eastAsia="zh-CN"/>
        </w:rPr>
        <w:t>13</w:t>
      </w:r>
      <w:r>
        <w:rPr>
          <w:rFonts w:ascii="仿宋_GB2312" w:eastAsia="仿宋_GB2312"/>
          <w:b w:val="0"/>
          <w:sz w:val="32"/>
          <w:szCs w:val="32"/>
        </w:rPr>
        <w:t>.00万元。预算绩效管理取得的成效：一是2025年项目绩效目标完成良好，基本完成了绩效目标任务。围绕决策咨询工作，通过领导点题、组织各专业组提出选题、相关单位推荐选题，以及结合自治区党委、政府关注的重点问题、自治区党委会议精神自拟选题等方式，研究制定决策咨询选题方向，遴选高</w:t>
      </w:r>
      <w:bookmarkStart w:id="0" w:name="_GoBack"/>
      <w:bookmarkEnd w:id="0"/>
      <w:r>
        <w:rPr>
          <w:rFonts w:ascii="仿宋_GB2312" w:eastAsia="仿宋_GB2312"/>
          <w:b w:val="0"/>
          <w:sz w:val="32"/>
          <w:szCs w:val="32"/>
        </w:rPr>
        <w:t>水平专家开展研究工作，共部署研究任务15项，安排经费282.00万元，依托项目研究开展调研活动22次以上，召开专家活动30余次，举办院士专家大讲堂5期，遴选高水平研究成果，刊发《决策参考》14期，上报自治区党委、政府等部门14期，提出产业发展、民生发展、资源利用与开发等意见建议32条以上，获得自治区党委书记等领导批示6期</w:t>
      </w:r>
      <w:r>
        <w:rPr>
          <w:rFonts w:hint="eastAsia" w:ascii="仿宋_GB2312" w:eastAsia="仿宋_GB2312"/>
          <w:b w:val="0"/>
          <w:sz w:val="32"/>
          <w:szCs w:val="32"/>
          <w:lang w:eastAsia="zh-CN"/>
        </w:rPr>
        <w:t>；</w:t>
      </w:r>
      <w:r>
        <w:rPr>
          <w:rFonts w:ascii="仿宋_GB2312" w:eastAsia="仿宋_GB2312"/>
          <w:b w:val="0"/>
          <w:sz w:val="32"/>
          <w:szCs w:val="32"/>
        </w:rPr>
        <w:t>二是概述本单位整体支出绩效目标实现情况</w:t>
      </w:r>
      <w:r>
        <w:rPr>
          <w:rFonts w:hint="eastAsia" w:ascii="仿宋_GB2312" w:eastAsia="仿宋_GB2312"/>
          <w:b w:val="0"/>
          <w:sz w:val="32"/>
          <w:szCs w:val="32"/>
          <w:lang w:eastAsia="zh-CN"/>
        </w:rPr>
        <w:t>，</w:t>
      </w:r>
      <w:r>
        <w:rPr>
          <w:rFonts w:ascii="仿宋_GB2312" w:eastAsia="仿宋_GB2312"/>
          <w:b w:val="0"/>
          <w:sz w:val="32"/>
          <w:szCs w:val="32"/>
        </w:rPr>
        <w:t>2025年单位收入523.14万元，支出523.14万元，其中基本支出223.07万元，项目财政拨款支出300.00万元，非财政拨款0.07万元。基本支出中，工资福利支出191.73万元，商品服务支出10.37万元，对个人和家庭的补助支出20.97万元，各项支出均按预算执行。项目财政拨款支出300.00万元，非财政拨款项目支出0.07万元，用于决策咨询研究和开展决策咨询活动</w:t>
      </w:r>
      <w:r>
        <w:rPr>
          <w:rFonts w:hint="eastAsia" w:ascii="仿宋_GB2312" w:eastAsia="仿宋_GB2312"/>
          <w:b w:val="0"/>
          <w:sz w:val="32"/>
          <w:szCs w:val="32"/>
          <w:lang w:eastAsia="zh-CN"/>
        </w:rPr>
        <w:t>等</w:t>
      </w:r>
      <w:r>
        <w:rPr>
          <w:rFonts w:ascii="仿宋_GB2312" w:eastAsia="仿宋_GB2312"/>
          <w:b w:val="0"/>
          <w:sz w:val="32"/>
          <w:szCs w:val="32"/>
        </w:rPr>
        <w:t>开支，按要求完成了绩效目标任务。发现的问题及原因：一是2025年自治区专家顾问团决策研究与咨询工作经费预算执行进度较慢，原因是自治区专家顾问团决策研究与咨询工作做出改革调整，由领导点题、各专业组和相关单位推荐方式策划决策选题、部署决策咨询任务，成熟一批部署一批，因此预算执行要结合自治区经济社会发展最新精神和决策需求、按照决策咨询任务部署情况进行分批安排</w:t>
      </w:r>
      <w:r>
        <w:rPr>
          <w:rFonts w:hint="eastAsia" w:ascii="仿宋_GB2312" w:eastAsia="仿宋_GB2312"/>
          <w:b w:val="0"/>
          <w:sz w:val="32"/>
          <w:szCs w:val="32"/>
          <w:lang w:eastAsia="zh-CN"/>
        </w:rPr>
        <w:t>；</w:t>
      </w:r>
      <w:r>
        <w:rPr>
          <w:rFonts w:ascii="仿宋_GB2312" w:eastAsia="仿宋_GB2312"/>
          <w:b w:val="0"/>
          <w:sz w:val="32"/>
          <w:szCs w:val="32"/>
        </w:rPr>
        <w:t>二是为了进一步提升《决策参考》的质量和水平，对决策报告严把质量关，分管领导和主管领导对稿件质量都进行严格审核，由于审核时间长，《决策参考》的期数有所下降，但是稿件质量得到有效提升，多篇稿件获得自治区领导批示。下一步改进措施：一是加快决策选题的策划，提高审批效率，加快预算执行进度；二是组织开展形式多样的专家决策咨询活动。具体附项目支出绩效自评表</w:t>
      </w:r>
    </w:p>
    <w:p w14:paraId="5673824C">
      <w:pPr>
        <w:widowControl/>
        <w:spacing w:before="0" w:beforeLines="0" w:beforeAutospacing="0" w:after="0" w:afterLines="0" w:afterAutospacing="0" w:line="240" w:lineRule="auto"/>
        <w:ind w:firstLine="640" w:firstLineChars="200"/>
        <w:jc w:val="left"/>
        <w:rPr>
          <w:rFonts w:ascii="黑体" w:eastAsia="黑体"/>
          <w:sz w:val="32"/>
          <w:szCs w:val="32"/>
        </w:rPr>
      </w:pPr>
      <w:r>
        <w:rPr>
          <w:rFonts w:ascii="黑体" w:eastAsia="黑体"/>
          <w:b w:val="0"/>
          <w:sz w:val="32"/>
          <w:szCs w:val="32"/>
        </w:rPr>
        <w:t>十二、其他需说明的事项</w:t>
      </w:r>
    </w:p>
    <w:p w14:paraId="62CB1AF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本单位无其他需说明的事项。</w:t>
      </w:r>
    </w:p>
    <w:p w14:paraId="6A274C3E">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3B5DF102">
      <w:pPr>
        <w:widowControl/>
      </w:pPr>
      <w:r>
        <w:rPr>
          <w:b w:val="0"/>
          <w:sz w:val="0"/>
          <w:szCs w:val="0"/>
        </w:rPr>
        <w:br w:type="page"/>
      </w:r>
    </w:p>
    <w:p w14:paraId="34508DDB">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14:paraId="32C21D6C">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14:paraId="5B4D4B8B">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0BB719D6">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14:paraId="541430AB">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7B8DF2EB">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14:paraId="02D1BE72">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14:paraId="2CFBE435">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14:paraId="0B50724E">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14:paraId="14B5B5F2">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14:paraId="7DE22855">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14:paraId="515BEFDF">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14:paraId="744F68BB">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14:paraId="501641AA">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14:paraId="22042AEF">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14:paraId="21ACE75E">
      <w:pPr>
        <w:widowControl/>
        <w:spacing w:before="0" w:beforeLines="0" w:beforeAutospacing="0" w:after="0" w:afterLines="0" w:afterAutospacing="0" w:line="240" w:lineRule="auto"/>
        <w:ind w:firstLine="643" w:firstLineChars="200"/>
        <w:jc w:val="left"/>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14:paraId="4B862D5D">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0A85EF0A">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14:paraId="4651BF70">
      <w:pPr>
        <w:widowControl/>
      </w:pPr>
      <w:r>
        <w:rPr>
          <w:b w:val="0"/>
          <w:sz w:val="0"/>
          <w:szCs w:val="0"/>
        </w:rPr>
        <w:br w:type="page"/>
      </w:r>
    </w:p>
    <w:p w14:paraId="52AB51FA">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14:paraId="5DFC6169">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14:paraId="5E0C42B8">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14:paraId="0303E9E6">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14:paraId="6B0B6A90">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14:paraId="540066F3">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14:paraId="3D609103">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64B8D8A4">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3D159C4D">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52E67CDD">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000000"/>
    <w:rsid w:val="076978A8"/>
    <w:rsid w:val="09330389"/>
    <w:rsid w:val="448C37A5"/>
    <w:rsid w:val="54CF3949"/>
    <w:rsid w:val="56A44E37"/>
    <w:rsid w:val="78E02A58"/>
    <w:rsid w:val="7C9E51F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qFormat="1"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annotation text"/>
    <w:basedOn w:val="1"/>
    <w:semiHidden/>
    <w:unhideWhenUsed/>
    <w:qFormat/>
    <w:uiPriority w:val="99"/>
    <w:pPr>
      <w:jc w:val="left"/>
    </w:p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Emphasis"/>
    <w:basedOn w:val="14"/>
    <w:qFormat/>
    <w:uiPriority w:val="20"/>
    <w:rPr>
      <w:i/>
      <w:iCs/>
    </w:rPr>
  </w:style>
  <w:style w:type="character" w:styleId="16">
    <w:name w:val="Hyperlink"/>
    <w:basedOn w:val="14"/>
    <w:unhideWhenUsed/>
    <w:qFormat/>
    <w:uiPriority w:val="99"/>
    <w:rPr>
      <w:color w:val="0000FF" w:themeColor="hyperlink"/>
      <w:u w:val="single"/>
    </w:rPr>
  </w:style>
  <w:style w:type="character" w:customStyle="1" w:styleId="17">
    <w:name w:val="Header Char"/>
    <w:basedOn w:val="14"/>
    <w:link w:val="9"/>
    <w:qFormat/>
    <w:uiPriority w:val="99"/>
  </w:style>
  <w:style w:type="character" w:customStyle="1" w:styleId="18">
    <w:name w:val="Heading 1 Char"/>
    <w:basedOn w:val="1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9">
    <w:name w:val="Heading 2 Char"/>
    <w:basedOn w:val="14"/>
    <w:link w:val="3"/>
    <w:qFormat/>
    <w:uiPriority w:val="9"/>
    <w:rPr>
      <w:rFonts w:asciiTheme="majorHAnsi" w:hAnsiTheme="majorHAnsi" w:eastAsiaTheme="majorEastAsia" w:cstheme="majorBidi"/>
      <w:b/>
      <w:bCs/>
      <w:color w:val="4F81BD" w:themeColor="accent1"/>
      <w:sz w:val="26"/>
      <w:szCs w:val="26"/>
    </w:rPr>
  </w:style>
  <w:style w:type="character" w:customStyle="1" w:styleId="20">
    <w:name w:val="Heading 3 Char"/>
    <w:basedOn w:val="14"/>
    <w:link w:val="4"/>
    <w:qFormat/>
    <w:uiPriority w:val="9"/>
    <w:rPr>
      <w:rFonts w:asciiTheme="majorHAnsi" w:hAnsiTheme="majorHAnsi" w:eastAsiaTheme="majorEastAsia" w:cstheme="majorBidi"/>
      <w:b/>
      <w:bCs/>
      <w:color w:val="4F81BD" w:themeColor="accent1"/>
    </w:rPr>
  </w:style>
  <w:style w:type="character" w:customStyle="1" w:styleId="21">
    <w:name w:val="Heading 4 Char"/>
    <w:basedOn w:val="14"/>
    <w:link w:val="5"/>
    <w:qFormat/>
    <w:uiPriority w:val="9"/>
    <w:rPr>
      <w:rFonts w:asciiTheme="majorHAnsi" w:hAnsiTheme="majorHAnsi" w:eastAsiaTheme="majorEastAsia" w:cstheme="majorBidi"/>
      <w:b/>
      <w:bCs/>
      <w:i/>
      <w:iCs/>
      <w:color w:val="4F81BD" w:themeColor="accent1"/>
    </w:rPr>
  </w:style>
  <w:style w:type="character" w:customStyle="1" w:styleId="22">
    <w:name w:val="Subtitle Char"/>
    <w:basedOn w:val="14"/>
    <w:link w:val="10"/>
    <w:uiPriority w:val="11"/>
    <w:rPr>
      <w:rFonts w:asciiTheme="majorHAnsi" w:hAnsiTheme="majorHAnsi" w:eastAsiaTheme="majorEastAsia" w:cstheme="majorBidi"/>
      <w:i/>
      <w:iCs/>
      <w:color w:val="4F81BD" w:themeColor="accent1"/>
      <w:spacing w:val="15"/>
      <w:sz w:val="24"/>
      <w:szCs w:val="24"/>
    </w:rPr>
  </w:style>
  <w:style w:type="character" w:customStyle="1" w:styleId="23">
    <w:name w:val="Title Char"/>
    <w:basedOn w:val="14"/>
    <w:link w:val="11"/>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13</Pages>
  <Words>5846</Words>
  <Characters>6431</Characters>
  <TotalTime>18</TotalTime>
  <ScaleCrop>false</ScaleCrop>
  <LinksUpToDate>false</LinksUpToDate>
  <CharactersWithSpaces>6438</CharactersWithSpaces>
  <Application>WPS Office_12.1.0.18608_F1E327BC-269C-435d-A152-05C5408002CA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2026-08-20T15:16:00Z</dcterms:created>
  <dc:creator>ldan</dc:creator>
  <cp:lastModifiedBy>雨。</cp:lastModifiedBy>
  <dcterms:modified xsi:type="dcterms:W3CDTF">2026-08-31T04:49:05Z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EF0B0F50FEBD44A3A155AD77DF66505A_12</vt:lpwstr>
  </property>
  <property fmtid="{D5CDD505-2E9C-101B-9397-08002B2CF9AE}" pid="4" name="KSOTemplateDocerSaveRecord">
    <vt:lpwstr>eyJoZGlkIjoiYTZjZThjMDFjYjU0NDRjYWE1YjFlZmFjNmU0NDBiYTgiLCJ1c2VySWQiOiI0NjExNzA3OTgifQ==</vt:lpwstr>
  </property>
</Properties>
</file>