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2B4E8">
      <w:pPr>
        <w:widowControl/>
        <w:spacing w:before="0" w:beforeLines="0" w:beforeAutospacing="0" w:after="0" w:afterLines="0" w:afterAutospacing="0" w:line="240" w:lineRule="auto"/>
        <w:jc w:val="left"/>
        <w:rPr>
          <w:rFonts w:ascii="宋体" w:eastAsia="宋体"/>
          <w:color w:val="auto"/>
          <w:sz w:val="32"/>
          <w:szCs w:val="32"/>
          <w:highlight w:val="none"/>
        </w:rPr>
      </w:pPr>
    </w:p>
    <w:p w14:paraId="12DF0D1A">
      <w:pPr>
        <w:widowControl/>
        <w:spacing w:before="0" w:beforeLines="0" w:beforeAutospacing="0" w:after="0" w:afterLines="0" w:afterAutospacing="0" w:line="240" w:lineRule="auto"/>
        <w:jc w:val="left"/>
        <w:rPr>
          <w:rFonts w:ascii="宋体" w:eastAsia="宋体"/>
          <w:color w:val="auto"/>
          <w:sz w:val="44"/>
          <w:szCs w:val="44"/>
          <w:highlight w:val="none"/>
        </w:rPr>
      </w:pPr>
    </w:p>
    <w:p w14:paraId="6132C3D3">
      <w:pPr>
        <w:widowControl/>
        <w:spacing w:before="0" w:beforeLines="0" w:beforeAutospacing="0" w:after="0" w:afterLines="0" w:afterAutospacing="0" w:line="240" w:lineRule="auto"/>
        <w:jc w:val="left"/>
        <w:rPr>
          <w:rFonts w:ascii="宋体" w:eastAsia="宋体"/>
          <w:color w:val="auto"/>
          <w:sz w:val="44"/>
          <w:szCs w:val="44"/>
          <w:highlight w:val="none"/>
        </w:rPr>
      </w:pPr>
    </w:p>
    <w:p w14:paraId="0C23886B">
      <w:pPr>
        <w:widowControl/>
        <w:spacing w:before="0" w:beforeLines="0" w:beforeAutospacing="0" w:after="0" w:afterLines="0" w:afterAutospacing="0" w:line="240" w:lineRule="auto"/>
        <w:jc w:val="left"/>
        <w:rPr>
          <w:rFonts w:ascii="宋体" w:eastAsia="宋体"/>
          <w:color w:val="auto"/>
          <w:sz w:val="44"/>
          <w:szCs w:val="44"/>
          <w:highlight w:val="none"/>
        </w:rPr>
      </w:pPr>
    </w:p>
    <w:p w14:paraId="7D04EBBE">
      <w:pPr>
        <w:widowControl/>
        <w:spacing w:before="0" w:beforeLines="0" w:beforeAutospacing="0" w:after="0" w:afterLines="0" w:afterAutospacing="0" w:line="240" w:lineRule="auto"/>
        <w:jc w:val="center"/>
        <w:outlineLvl w:val="0"/>
        <w:rPr>
          <w:rFonts w:hint="eastAsia" w:ascii="方正小标宋_GBK" w:hAnsi="宋体" w:eastAsia="方正小标宋_GBK" w:cstheme="minorBidi"/>
          <w:color w:val="auto"/>
          <w:sz w:val="44"/>
          <w:szCs w:val="44"/>
          <w:highlight w:val="none"/>
          <w:lang w:val="en-US" w:eastAsia="zh-CN"/>
        </w:rPr>
      </w:pPr>
      <w:r>
        <w:rPr>
          <w:rFonts w:hint="eastAsia" w:ascii="方正小标宋_GBK" w:hAnsi="宋体" w:eastAsia="方正小标宋_GBK" w:cstheme="minorBidi"/>
          <w:color w:val="auto"/>
          <w:sz w:val="44"/>
          <w:szCs w:val="44"/>
          <w:highlight w:val="none"/>
          <w:lang w:val="en-US" w:eastAsia="zh-CN"/>
        </w:rPr>
        <w:t>新疆维吾尔自治区科学技术厅（转制科研院所代编经费）2025年度部门决算</w:t>
      </w:r>
    </w:p>
    <w:p w14:paraId="202260EF">
      <w:pPr>
        <w:widowControl/>
        <w:spacing w:before="0" w:beforeLines="0" w:beforeAutospacing="0" w:after="0" w:afterLines="0" w:afterAutospacing="0" w:line="240" w:lineRule="auto"/>
        <w:jc w:val="center"/>
        <w:outlineLvl w:val="0"/>
        <w:rPr>
          <w:rFonts w:hint="eastAsia" w:ascii="方正小标宋_GBK" w:hAnsi="宋体" w:eastAsia="方正小标宋_GBK" w:cstheme="minorBidi"/>
          <w:color w:val="auto"/>
          <w:sz w:val="44"/>
          <w:szCs w:val="44"/>
          <w:highlight w:val="none"/>
          <w:lang w:val="en-US" w:eastAsia="zh-CN"/>
        </w:rPr>
      </w:pPr>
      <w:r>
        <w:rPr>
          <w:rFonts w:hint="eastAsia" w:ascii="方正小标宋_GBK" w:hAnsi="宋体" w:eastAsia="方正小标宋_GBK" w:cstheme="minorBidi"/>
          <w:color w:val="auto"/>
          <w:sz w:val="44"/>
          <w:szCs w:val="44"/>
          <w:highlight w:val="none"/>
          <w:lang w:val="en-US" w:eastAsia="zh-CN"/>
        </w:rPr>
        <w:t>公开说明</w:t>
      </w:r>
    </w:p>
    <w:p w14:paraId="2028E568">
      <w:pPr>
        <w:widowControl/>
        <w:rPr>
          <w:color w:val="auto"/>
          <w:highlight w:val="none"/>
        </w:rPr>
      </w:pPr>
      <w:r>
        <w:rPr>
          <w:b w:val="0"/>
          <w:color w:val="auto"/>
          <w:sz w:val="0"/>
          <w:szCs w:val="0"/>
          <w:highlight w:val="none"/>
        </w:rPr>
        <w:br w:type="page"/>
      </w:r>
    </w:p>
    <w:p w14:paraId="0D3DE3FA">
      <w:pPr>
        <w:widowControl/>
        <w:spacing w:before="0" w:beforeLines="0" w:beforeAutospacing="0" w:after="0" w:afterLines="0" w:afterAutospacing="0" w:line="240" w:lineRule="auto"/>
        <w:jc w:val="center"/>
        <w:rPr>
          <w:rFonts w:ascii="黑体" w:eastAsia="黑体"/>
          <w:color w:val="auto"/>
          <w:sz w:val="32"/>
          <w:szCs w:val="32"/>
          <w:highlight w:val="none"/>
        </w:rPr>
      </w:pPr>
      <w:r>
        <w:rPr>
          <w:rFonts w:ascii="黑体" w:eastAsia="黑体"/>
          <w:b/>
          <w:color w:val="auto"/>
          <w:sz w:val="32"/>
          <w:szCs w:val="32"/>
          <w:highlight w:val="none"/>
        </w:rPr>
        <w:t>目 录</w:t>
      </w:r>
    </w:p>
    <w:p w14:paraId="4B8E7C4B">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第一部分单位概况</w:t>
      </w:r>
    </w:p>
    <w:p w14:paraId="19FAA3D5">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一、主要职能</w:t>
      </w:r>
    </w:p>
    <w:p w14:paraId="7669839C">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二、机构设置</w:t>
      </w:r>
    </w:p>
    <w:p w14:paraId="23B49EF9">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第二部分 部门决算情况说明</w:t>
      </w:r>
    </w:p>
    <w:p w14:paraId="6704D999">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一、收入支出决算总体情况说明</w:t>
      </w:r>
    </w:p>
    <w:p w14:paraId="1E442025">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二、收入决算情况说明</w:t>
      </w:r>
    </w:p>
    <w:p w14:paraId="15E18FC1">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三、支出决算情况说明</w:t>
      </w:r>
    </w:p>
    <w:p w14:paraId="21966207">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四、财政拨款收入支出决算总体情况说明</w:t>
      </w:r>
    </w:p>
    <w:p w14:paraId="09AF368B">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五、一般公共预算财政拨款支出决算情况说明</w:t>
      </w:r>
    </w:p>
    <w:p w14:paraId="55768808">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（一）一般公共预算财政拨款支出决算总体情况</w:t>
      </w:r>
    </w:p>
    <w:p w14:paraId="244C460E">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（二）一般公共预算财政拨款支出决算结构情况</w:t>
      </w:r>
    </w:p>
    <w:p w14:paraId="23BB06FE">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（三）一般公共预算财政拨款支出决算具体情况</w:t>
      </w:r>
    </w:p>
    <w:p w14:paraId="2E43EF21">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六、一般公共预算财政拨款基本支出决算情况说明</w:t>
      </w:r>
    </w:p>
    <w:p w14:paraId="495DFD4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七、政府性基金预算财政拨款收入支出决算情况说明</w:t>
      </w:r>
    </w:p>
    <w:p w14:paraId="31F7576E">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八、国有资本经营预算财政拨款收入支出决算情况说明</w:t>
      </w:r>
    </w:p>
    <w:p w14:paraId="752516CA">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九、财政拨款“三公”经费支出决算情况说明</w:t>
      </w:r>
    </w:p>
    <w:p w14:paraId="3B628A5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十、其他重要事项的情况说明</w:t>
      </w:r>
    </w:p>
    <w:p w14:paraId="315201B0">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（一）机关运行经费及公用经费支出情况</w:t>
      </w:r>
    </w:p>
    <w:p w14:paraId="566F54C7">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（二）政府采购情况</w:t>
      </w:r>
    </w:p>
    <w:p w14:paraId="574D509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（三）国有资产占用情况说明</w:t>
      </w:r>
    </w:p>
    <w:p w14:paraId="4639A51D">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十一、预算绩效的情况说明</w:t>
      </w:r>
    </w:p>
    <w:p w14:paraId="15A71518">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十二、其他需说明的事项</w:t>
      </w:r>
    </w:p>
    <w:p w14:paraId="3F1306D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第三部分 专业名词解释</w:t>
      </w:r>
    </w:p>
    <w:p w14:paraId="7853CAD2">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第四部分 部门决算报表（见附表）</w:t>
      </w:r>
    </w:p>
    <w:p w14:paraId="2D6395C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14:paraId="6111EFD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14:paraId="7084A4F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14:paraId="6897D09C">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14:paraId="03FE59E8">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14:paraId="59C3B8D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14:paraId="6F16CB90">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14:paraId="2FFCF626">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八、《国有资本经营预算财政拨款收入支出决算表》</w:t>
      </w:r>
    </w:p>
    <w:p w14:paraId="22CCA21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九、《财政拨款“三公”经费支出决算表》</w:t>
      </w:r>
    </w:p>
    <w:p w14:paraId="71C19ADD">
      <w:pPr>
        <w:widowControl/>
        <w:rPr>
          <w:color w:val="auto"/>
          <w:highlight w:val="none"/>
        </w:rPr>
      </w:pPr>
      <w:r>
        <w:rPr>
          <w:b w:val="0"/>
          <w:color w:val="auto"/>
          <w:sz w:val="0"/>
          <w:szCs w:val="0"/>
          <w:highlight w:val="none"/>
        </w:rPr>
        <w:br w:type="page"/>
      </w:r>
    </w:p>
    <w:p w14:paraId="1DE13B5C">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第一部分单位概况</w:t>
      </w:r>
    </w:p>
    <w:p w14:paraId="2037B60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一、主要职能</w:t>
      </w:r>
    </w:p>
    <w:p w14:paraId="049F6582">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hint="eastAsia" w:ascii="仿宋_GB2312" w:eastAsia="仿宋_GB2312"/>
          <w:color w:val="auto"/>
          <w:sz w:val="32"/>
          <w:szCs w:val="32"/>
          <w:highlight w:val="none"/>
        </w:rPr>
        <w:t>“新疆维吾尔自治区科学技术厅-转制科研院所”构成：是由科技厅代编的8家技术开发类科研院所2005年12月31日以前办理完离退休手续的离退休人员经费。</w:t>
      </w:r>
    </w:p>
    <w:p w14:paraId="5364FDC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二、机构设置</w:t>
      </w:r>
    </w:p>
    <w:p w14:paraId="41F6D00A">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hint="eastAsia" w:ascii="仿宋_GB2312" w:eastAsia="仿宋_GB2312"/>
          <w:b w:val="0"/>
          <w:color w:val="auto"/>
          <w:sz w:val="32"/>
          <w:szCs w:val="32"/>
          <w:highlight w:val="none"/>
        </w:rPr>
        <w:t>新疆维吾尔自治区科学技术厅（转制科研院所代编经费）</w:t>
      </w:r>
      <w:r>
        <w:rPr>
          <w:rFonts w:ascii="仿宋_GB2312" w:eastAsia="仿宋_GB2312"/>
          <w:b w:val="0"/>
          <w:color w:val="auto"/>
          <w:sz w:val="32"/>
          <w:szCs w:val="32"/>
          <w:highlight w:val="none"/>
        </w:rPr>
        <w:t>无下属预算单位。</w:t>
      </w:r>
    </w:p>
    <w:p w14:paraId="7AE2D026">
      <w:pPr>
        <w:widowControl/>
        <w:rPr>
          <w:color w:val="auto"/>
          <w:highlight w:val="none"/>
        </w:rPr>
      </w:pPr>
      <w:r>
        <w:rPr>
          <w:b w:val="0"/>
          <w:color w:val="auto"/>
          <w:sz w:val="0"/>
          <w:szCs w:val="0"/>
          <w:highlight w:val="none"/>
        </w:rPr>
        <w:br w:type="page"/>
      </w:r>
    </w:p>
    <w:p w14:paraId="33DF5714">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第二部分 部门决算情况说明</w:t>
      </w:r>
    </w:p>
    <w:p w14:paraId="2DCF5F88">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一、收入支出决算总体情况说明</w:t>
      </w:r>
    </w:p>
    <w:p w14:paraId="01DE49F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2025年度收入总计267,863.29万元，其中：本年收入合计267,149.27万元，使用非财政拨款结余（含专用结余）0.00万元，年初结转和结余714.01万元。</w:t>
      </w:r>
    </w:p>
    <w:p w14:paraId="0BF7BDD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2025年度支出总计267,863.29万元，其中：本年支出合计266,678.82万元，结余分配0.00万元，年末结转和结余1,184.47万元。</w:t>
      </w:r>
    </w:p>
    <w:p w14:paraId="23F2231E">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收入支出总体与上年相比，增加71,946.17万元，增长36.72%，主要原因是：</w:t>
      </w:r>
      <w:r>
        <w:rPr>
          <w:rFonts w:hint="eastAsia" w:ascii="仿宋_GB2312" w:eastAsia="仿宋_GB2312"/>
          <w:b w:val="0"/>
          <w:color w:val="auto"/>
          <w:sz w:val="32"/>
          <w:szCs w:val="32"/>
          <w:highlight w:val="none"/>
        </w:rPr>
        <w:t>较上年增加部分五大类科技计划项目经费</w:t>
      </w:r>
      <w:r>
        <w:rPr>
          <w:rFonts w:ascii="仿宋_GB2312" w:eastAsia="仿宋_GB2312"/>
          <w:b w:val="0"/>
          <w:color w:val="auto"/>
          <w:sz w:val="32"/>
          <w:szCs w:val="32"/>
          <w:highlight w:val="none"/>
        </w:rPr>
        <w:t>。</w:t>
      </w:r>
    </w:p>
    <w:p w14:paraId="37CDCB07">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二、收入决算情况说明</w:t>
      </w:r>
    </w:p>
    <w:p w14:paraId="25C329C2">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年收入267,149.27万元，其中：财政拨款收入263,503.69万元,占98.64%；上级补助收入0.00万元,占0.00%；事业收入0.00万元，占0.00%；经营收入0.00万元,占0.00%；附属单位上缴收入0.00万元，占0.00%；其他收入3,645.58万元，占1.36%。</w:t>
      </w:r>
    </w:p>
    <w:p w14:paraId="68C5B337">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三、支出决算情况说明</w:t>
      </w:r>
    </w:p>
    <w:p w14:paraId="10637DA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本年支出266,678.82万元，其中：基本支出822.68万元，占0.31%；项目支出265,856.14万元，占99.69%；上缴上级支出0.00万元，占0.00%；经营支出0.00万元，占0.00%；对附属单位补助支出0.00万元，占0.00%。</w:t>
      </w:r>
    </w:p>
    <w:p w14:paraId="42FE879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四、财政拨款收入支出决算总体情况说明</w:t>
      </w:r>
    </w:p>
    <w:p w14:paraId="3A6E0FB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财政拨款收入总计263,503.69万元，其中：年初财政拨款结转和结余0.00万元，本年财政拨款收入263,503.69万元。财政拨款支出总计263,503.69万元，其中：年末财政拨款结转和结余0.00万元，本年财政拨款支出263,503.69万元。</w:t>
      </w:r>
    </w:p>
    <w:p w14:paraId="6D4AE197">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财政拨款收入支出总体与上年相比，增加67,586.57万元，增长34.50%，主要原因是：</w:t>
      </w:r>
      <w:r>
        <w:rPr>
          <w:rFonts w:hint="eastAsia" w:ascii="仿宋_GB2312" w:eastAsia="仿宋_GB2312"/>
          <w:b w:val="0"/>
          <w:color w:val="auto"/>
          <w:sz w:val="32"/>
          <w:szCs w:val="32"/>
          <w:highlight w:val="none"/>
          <w:lang w:val="en-US" w:eastAsia="zh-CN"/>
        </w:rPr>
        <w:t>较上年增加部分五大类科技计划项目经费</w:t>
      </w:r>
      <w:r>
        <w:rPr>
          <w:rFonts w:ascii="仿宋_GB2312" w:eastAsia="仿宋_GB2312"/>
          <w:b w:val="0"/>
          <w:color w:val="auto"/>
          <w:sz w:val="32"/>
          <w:szCs w:val="32"/>
          <w:highlight w:val="none"/>
        </w:rPr>
        <w:t>。与年初预算相比，年初预算数227,575.78万元，决算数263,503.69万元，预决算差异率15.79%，主要原因是：</w:t>
      </w:r>
      <w:r>
        <w:rPr>
          <w:rFonts w:hint="eastAsia" w:ascii="仿宋_GB2312" w:eastAsia="仿宋_GB2312"/>
          <w:b w:val="0"/>
          <w:color w:val="auto"/>
          <w:sz w:val="32"/>
          <w:szCs w:val="32"/>
          <w:highlight w:val="none"/>
        </w:rPr>
        <w:t>年中追加五大类科技计划项目经费，导致预决算存在差异</w:t>
      </w:r>
      <w:r>
        <w:rPr>
          <w:rFonts w:ascii="仿宋_GB2312" w:eastAsia="仿宋_GB2312"/>
          <w:b w:val="0"/>
          <w:color w:val="auto"/>
          <w:sz w:val="32"/>
          <w:szCs w:val="32"/>
          <w:highlight w:val="none"/>
        </w:rPr>
        <w:t>。</w:t>
      </w:r>
    </w:p>
    <w:p w14:paraId="6EC1E94D">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五、一般公共预算财政拨款支出决算情况说明</w:t>
      </w:r>
    </w:p>
    <w:p w14:paraId="7CB29189">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r>
        <w:rPr>
          <w:rFonts w:ascii="仿宋_GB2312" w:eastAsia="仿宋_GB2312"/>
          <w:b w:val="0"/>
          <w:color w:val="auto"/>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color w:val="auto"/>
          <w:sz w:val="32"/>
          <w:szCs w:val="32"/>
          <w:highlight w:val="none"/>
          <w:lang w:eastAsia="zh-CN"/>
        </w:rPr>
        <w:t>人员经费</w:t>
      </w:r>
      <w:r>
        <w:rPr>
          <w:rFonts w:ascii="仿宋_GB2312" w:eastAsia="仿宋_GB2312"/>
          <w:b w:val="0"/>
          <w:color w:val="auto"/>
          <w:sz w:val="32"/>
          <w:szCs w:val="32"/>
          <w:highlight w:val="none"/>
        </w:rPr>
        <w:t>、</w:t>
      </w:r>
      <w:r>
        <w:rPr>
          <w:rFonts w:hint="eastAsia" w:ascii="仿宋_GB2312" w:eastAsia="仿宋_GB2312"/>
          <w:b w:val="0"/>
          <w:color w:val="auto"/>
          <w:sz w:val="32"/>
          <w:szCs w:val="32"/>
          <w:highlight w:val="none"/>
          <w:lang w:eastAsia="zh-CN"/>
        </w:rPr>
        <w:t>自治区党委、政府决策部署、重点工作任务</w:t>
      </w:r>
      <w:r>
        <w:rPr>
          <w:rFonts w:ascii="仿宋_GB2312" w:eastAsia="仿宋_GB2312"/>
          <w:b w:val="0"/>
          <w:color w:val="auto"/>
          <w:sz w:val="32"/>
          <w:szCs w:val="32"/>
          <w:highlight w:val="none"/>
        </w:rPr>
        <w:t>等重点支出，体现在有关支出科目中。</w:t>
      </w:r>
    </w:p>
    <w:p w14:paraId="545CEF84">
      <w:pPr>
        <w:widowControl/>
        <w:spacing w:before="0" w:beforeLines="0" w:beforeAutospacing="0" w:after="0" w:afterLines="0" w:afterAutospacing="0" w:line="240" w:lineRule="auto"/>
        <w:ind w:firstLine="640" w:firstLineChars="200"/>
        <w:jc w:val="left"/>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按照支出功能分类，科学技术支出（类）科技重大项目（款）重点研发计划（项）的支出占本年财政拨款支出总额的比重最高，2025年度决算数为99,803.14万元，占比37.88%，主要用于</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年度聚焦自治区各</w:t>
      </w:r>
      <w:r>
        <w:rPr>
          <w:rFonts w:hint="default" w:ascii="Times New Roman" w:hAnsi="Times New Roman" w:eastAsia="仿宋_GB2312" w:cs="Times New Roman"/>
          <w:color w:val="auto"/>
          <w:kern w:val="0"/>
          <w:sz w:val="32"/>
          <w:szCs w:val="32"/>
          <w:highlight w:val="none"/>
          <w:lang w:val="en-US" w:eastAsia="zh-CN" w:bidi="ar"/>
        </w:rPr>
        <w:t>重点产业领域关键核心技术攻关</w:t>
      </w:r>
      <w:r>
        <w:rPr>
          <w:rFonts w:hint="eastAsia"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仿宋_GB2312" w:cs="Times New Roman"/>
          <w:color w:val="auto"/>
          <w:kern w:val="0"/>
          <w:sz w:val="32"/>
          <w:szCs w:val="32"/>
          <w:highlight w:val="none"/>
          <w:lang w:val="en-US" w:eastAsia="zh-CN" w:bidi="ar"/>
        </w:rPr>
        <w:t>立项</w:t>
      </w:r>
      <w:r>
        <w:rPr>
          <w:rFonts w:hint="eastAsia" w:ascii="Times New Roman" w:hAnsi="Times New Roman" w:eastAsia="仿宋_GB2312" w:cs="Times New Roman"/>
          <w:color w:val="auto"/>
          <w:kern w:val="0"/>
          <w:sz w:val="32"/>
          <w:szCs w:val="32"/>
          <w:highlight w:val="none"/>
          <w:lang w:val="en-US" w:eastAsia="zh-CN" w:bidi="ar"/>
        </w:rPr>
        <w:t>的</w:t>
      </w:r>
      <w:r>
        <w:rPr>
          <w:rFonts w:hint="default" w:ascii="Times New Roman" w:hAnsi="Times New Roman" w:eastAsia="仿宋_GB2312" w:cs="Times New Roman"/>
          <w:color w:val="auto"/>
          <w:kern w:val="0"/>
          <w:sz w:val="32"/>
          <w:szCs w:val="32"/>
          <w:highlight w:val="none"/>
          <w:lang w:val="en-US" w:eastAsia="zh-CN" w:bidi="ar"/>
        </w:rPr>
        <w:t>重点研发项目</w:t>
      </w:r>
      <w:r>
        <w:rPr>
          <w:rFonts w:hint="eastAsia" w:ascii="Times New Roman" w:hAnsi="Times New Roman" w:eastAsia="仿宋_GB2312" w:cs="Times New Roman"/>
          <w:color w:val="auto"/>
          <w:kern w:val="0"/>
          <w:sz w:val="32"/>
          <w:szCs w:val="32"/>
          <w:highlight w:val="none"/>
          <w:lang w:val="en-US" w:eastAsia="zh-CN" w:bidi="ar"/>
        </w:rPr>
        <w:t>支出。</w:t>
      </w:r>
    </w:p>
    <w:p w14:paraId="63D1A0F8">
      <w:pPr>
        <w:widowControl/>
        <w:spacing w:before="0" w:beforeLines="0" w:beforeAutospacing="0" w:after="0" w:afterLines="0" w:afterAutospacing="0" w:line="240" w:lineRule="auto"/>
        <w:ind w:firstLine="640" w:firstLineChars="200"/>
        <w:jc w:val="both"/>
        <w:outlineLvl w:val="2"/>
        <w:rPr>
          <w:rFonts w:ascii="黑体" w:eastAsia="黑体"/>
          <w:color w:val="auto"/>
          <w:sz w:val="32"/>
          <w:szCs w:val="32"/>
          <w:highlight w:val="none"/>
        </w:rPr>
      </w:pPr>
      <w:r>
        <w:rPr>
          <w:rFonts w:ascii="黑体" w:eastAsia="黑体"/>
          <w:b w:val="0"/>
          <w:color w:val="auto"/>
          <w:sz w:val="32"/>
          <w:szCs w:val="32"/>
          <w:highlight w:val="none"/>
        </w:rPr>
        <w:t>（一）一般公共预算财政拨款支出决算总体情况</w:t>
      </w:r>
    </w:p>
    <w:p w14:paraId="42830D0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2025年度一般公共预算财政拨款支出263,503.69万元，占本年支出合计的98.81%。与上年相比，增加67,586.57万元，增长34.50%，主要原因是：</w:t>
      </w:r>
      <w:r>
        <w:rPr>
          <w:rFonts w:hint="eastAsia" w:ascii="仿宋_GB2312" w:eastAsia="仿宋_GB2312"/>
          <w:b w:val="0"/>
          <w:color w:val="auto"/>
          <w:sz w:val="32"/>
          <w:szCs w:val="32"/>
          <w:highlight w:val="none"/>
        </w:rPr>
        <w:t>较上年增加部分五大类科技计划项目经费</w:t>
      </w:r>
      <w:r>
        <w:rPr>
          <w:rFonts w:ascii="仿宋_GB2312" w:eastAsia="仿宋_GB2312"/>
          <w:b w:val="0"/>
          <w:color w:val="auto"/>
          <w:sz w:val="32"/>
          <w:szCs w:val="32"/>
          <w:highlight w:val="none"/>
        </w:rPr>
        <w:t>。与年初预算相比，年初预算数227,575.78万元，决算数263,503.69万元，预决算差异率15.79%，主要原因是：</w:t>
      </w:r>
      <w:r>
        <w:rPr>
          <w:rFonts w:hint="eastAsia" w:ascii="仿宋_GB2312" w:eastAsia="仿宋_GB2312"/>
          <w:color w:val="auto"/>
          <w:sz w:val="32"/>
          <w:szCs w:val="32"/>
          <w:highlight w:val="none"/>
          <w:lang w:val="zh-CN" w:eastAsia="zh-CN"/>
        </w:rPr>
        <w:t>年中追加五大类科技计划项目经费，</w:t>
      </w:r>
      <w:r>
        <w:rPr>
          <w:rFonts w:hint="eastAsia" w:ascii="仿宋_GB2312" w:eastAsia="仿宋_GB2312"/>
          <w:color w:val="auto"/>
          <w:sz w:val="32"/>
          <w:szCs w:val="32"/>
          <w:highlight w:val="none"/>
          <w:lang w:val="en-US" w:eastAsia="zh-CN"/>
        </w:rPr>
        <w:t>导致预决算存在差异</w:t>
      </w:r>
      <w:r>
        <w:rPr>
          <w:rFonts w:ascii="仿宋_GB2312" w:eastAsia="仿宋_GB2312"/>
          <w:b w:val="0"/>
          <w:color w:val="auto"/>
          <w:sz w:val="32"/>
          <w:szCs w:val="32"/>
          <w:highlight w:val="none"/>
        </w:rPr>
        <w:t>。</w:t>
      </w:r>
    </w:p>
    <w:p w14:paraId="3016E008">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（二）一般公共预算财政拨款支出决算结构情况</w:t>
      </w:r>
    </w:p>
    <w:p w14:paraId="25162737">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1.科学技术支出（类）263,503.69万元，占100.00%。</w:t>
      </w:r>
    </w:p>
    <w:p w14:paraId="490B2548">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（三）一般公共预算财政拨款支出决算具体情况</w:t>
      </w:r>
    </w:p>
    <w:p w14:paraId="542A9FEF">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highlight w:val="none"/>
          <w:lang w:val="en-US" w:eastAsia="zh-CN"/>
        </w:rPr>
      </w:pPr>
      <w:r>
        <w:rPr>
          <w:rFonts w:ascii="仿宋_GB2312" w:eastAsia="仿宋_GB2312"/>
          <w:b w:val="0"/>
          <w:color w:val="auto"/>
          <w:sz w:val="32"/>
          <w:szCs w:val="32"/>
          <w:highlight w:val="none"/>
        </w:rPr>
        <w:t>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科学技术支出（类）基础研究（款）自然科学基金（项）：支出决算数为13,065.00万元，比上年决算增加4,438.10万元，增长51.44%，主要原</w:t>
      </w:r>
      <w:r>
        <w:rPr>
          <w:rFonts w:hint="eastAsia" w:ascii="仿宋_GB2312" w:eastAsia="仿宋_GB2312"/>
          <w:b w:val="0"/>
          <w:color w:val="auto"/>
          <w:sz w:val="32"/>
          <w:szCs w:val="32"/>
          <w:highlight w:val="none"/>
          <w:lang w:eastAsia="zh-CN"/>
        </w:rPr>
        <w:t>因是：</w:t>
      </w:r>
      <w:r>
        <w:rPr>
          <w:rFonts w:hint="eastAsia" w:ascii="仿宋_GB2312" w:eastAsia="仿宋_GB2312"/>
          <w:b w:val="0"/>
          <w:color w:val="auto"/>
          <w:sz w:val="32"/>
          <w:szCs w:val="32"/>
          <w:highlight w:val="none"/>
          <w:lang w:val="en-US" w:eastAsia="zh-CN"/>
        </w:rPr>
        <w:t>本年新增</w:t>
      </w:r>
      <w:r>
        <w:rPr>
          <w:rFonts w:hint="eastAsia" w:ascii="仿宋_GB2312" w:eastAsia="仿宋_GB2312"/>
          <w:b w:val="0"/>
          <w:color w:val="auto"/>
          <w:sz w:val="32"/>
          <w:szCs w:val="32"/>
          <w:highlight w:val="none"/>
          <w:lang w:eastAsia="zh-CN"/>
        </w:rPr>
        <w:t>国家自然区域创新发展联合基金，</w:t>
      </w:r>
      <w:r>
        <w:rPr>
          <w:rFonts w:hint="eastAsia" w:ascii="仿宋_GB2312" w:eastAsia="仿宋_GB2312"/>
          <w:b w:val="0"/>
          <w:color w:val="auto"/>
          <w:sz w:val="32"/>
          <w:szCs w:val="32"/>
          <w:highlight w:val="none"/>
          <w:lang w:val="en-US" w:eastAsia="zh-CN"/>
        </w:rPr>
        <w:t>增加</w:t>
      </w:r>
      <w:r>
        <w:rPr>
          <w:rFonts w:hint="eastAsia" w:ascii="仿宋_GB2312" w:eastAsia="仿宋_GB2312"/>
          <w:color w:val="auto"/>
          <w:sz w:val="32"/>
          <w:szCs w:val="32"/>
          <w:highlight w:val="none"/>
        </w:rPr>
        <w:t>五大类科技计划项目经费</w:t>
      </w:r>
      <w:r>
        <w:rPr>
          <w:rFonts w:hint="eastAsia" w:ascii="仿宋_GB2312" w:eastAsia="仿宋_GB2312"/>
          <w:color w:val="auto"/>
          <w:sz w:val="32"/>
          <w:szCs w:val="32"/>
          <w:highlight w:val="none"/>
          <w:lang w:eastAsia="zh-CN"/>
        </w:rPr>
        <w:t>中</w:t>
      </w:r>
      <w:r>
        <w:rPr>
          <w:rFonts w:hint="eastAsia" w:ascii="Times New Roman" w:hAnsi="Times New Roman" w:eastAsia="仿宋_GB2312" w:cs="Times New Roman"/>
          <w:color w:val="auto"/>
          <w:kern w:val="2"/>
          <w:sz w:val="32"/>
          <w:szCs w:val="32"/>
          <w:highlight w:val="none"/>
          <w:lang w:val="en-US" w:eastAsia="zh-CN" w:bidi="ar-SA"/>
        </w:rPr>
        <w:t>自然科学基金项目。</w:t>
      </w:r>
    </w:p>
    <w:p w14:paraId="7EC76EB0">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科学技术支出（类）基础研究（款）实验室及相关设施（项）：支出决算数为25,031.00万元，比上年决算增加7,126.00万元，增长39.80%，主要原因是：</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eastAsia="zh-CN"/>
        </w:rPr>
        <w:t>年新增怀柔实验室新疆研究院开办费支出。</w:t>
      </w:r>
    </w:p>
    <w:p w14:paraId="61482A00">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科学技术支出（类）基础研究（款）科技人才队伍建设（项）：支出决算数为25,533.72万元，比上年决算增加5,826.05万元，增长29.56%，主要原因是：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年新疆人才发展基金支出增加。</w:t>
      </w:r>
    </w:p>
    <w:p w14:paraId="4AEFAF1C">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科学技术支出（类）基础研究（款）其他基础研究支出（项）：支出决算数为2,218.00万元，比上年决算增加203.00万元，增长10.07%，主要原因是：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年下达中央引导地方科技发展资金支出增加。</w:t>
      </w:r>
    </w:p>
    <w:p w14:paraId="0A5FCA8F">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科学技术支出（类）技术研究与开发（款）机构运行（项）：支出决算数为822.68万元，比上年决算减少28.82万元，下降3.38%，主要原因是：</w:t>
      </w:r>
      <w:r>
        <w:rPr>
          <w:rFonts w:hint="eastAsia" w:ascii="仿宋_GB2312" w:eastAsia="仿宋_GB2312"/>
          <w:b w:val="0"/>
          <w:color w:val="auto"/>
          <w:sz w:val="32"/>
          <w:szCs w:val="32"/>
          <w:highlight w:val="none"/>
          <w:lang w:eastAsia="zh-CN"/>
        </w:rPr>
        <w:t>转制科研院所离退休人员去世，</w:t>
      </w:r>
      <w:r>
        <w:rPr>
          <w:rFonts w:hint="eastAsia" w:ascii="仿宋_GB2312" w:eastAsia="仿宋_GB2312"/>
          <w:b w:val="0"/>
          <w:color w:val="auto"/>
          <w:sz w:val="32"/>
          <w:szCs w:val="32"/>
          <w:highlight w:val="none"/>
          <w:lang w:val="en-US" w:eastAsia="zh-CN"/>
        </w:rPr>
        <w:t>相关人员经费较上年减少</w:t>
      </w:r>
      <w:r>
        <w:rPr>
          <w:rFonts w:hint="eastAsia" w:ascii="仿宋_GB2312" w:eastAsia="仿宋_GB2312"/>
          <w:b w:val="0"/>
          <w:color w:val="auto"/>
          <w:sz w:val="32"/>
          <w:szCs w:val="32"/>
          <w:highlight w:val="none"/>
          <w:lang w:eastAsia="zh-CN"/>
        </w:rPr>
        <w:t>。</w:t>
      </w:r>
    </w:p>
    <w:p w14:paraId="0577EFE0">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科学技术支出（类）技术研究与开发（款）科技成果转化与扩散（项）：支出决算数为8,785.23万元，比上年决算减少1,694.19万元，下降16.17%，主要原因是</w:t>
      </w:r>
      <w:r>
        <w:rPr>
          <w:rFonts w:hint="eastAsia" w:ascii="仿宋_GB2312" w:eastAsia="仿宋_GB2312"/>
          <w:b w:val="0"/>
          <w:color w:val="auto"/>
          <w:sz w:val="32"/>
          <w:szCs w:val="32"/>
          <w:highlight w:val="none"/>
          <w:lang w:eastAsia="zh-CN"/>
        </w:rPr>
        <w:t>：</w:t>
      </w:r>
      <w:r>
        <w:rPr>
          <w:rFonts w:hint="eastAsia" w:ascii="Times New Roman" w:hAnsi="Times New Roman" w:eastAsia="仿宋_GB2312" w:cs="Times New Roman"/>
          <w:color w:val="auto"/>
          <w:kern w:val="2"/>
          <w:sz w:val="32"/>
          <w:szCs w:val="32"/>
          <w:highlight w:val="none"/>
          <w:lang w:val="en-US" w:eastAsia="zh-CN" w:bidi="ar-SA"/>
        </w:rPr>
        <w:t>较上年减少乡村振兴、科技特派员农村创业行动计划等项目。</w:t>
      </w:r>
    </w:p>
    <w:p w14:paraId="33673962">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科学技术支出（类）技术研究与开发（款）其他技术研究与开发支出（项）：支出决算数为28,134.15万元，比上年决算增加27,893.27万元，增长11,579.74%，主要原因是：</w:t>
      </w:r>
      <w:r>
        <w:rPr>
          <w:rFonts w:hint="eastAsia" w:ascii="仿宋_GB2312" w:eastAsia="仿宋_GB2312"/>
          <w:b w:val="0"/>
          <w:color w:val="auto"/>
          <w:sz w:val="32"/>
          <w:szCs w:val="32"/>
          <w:highlight w:val="none"/>
        </w:rPr>
        <w:t>较上年增加自治区高新技术企业发展专项资金</w:t>
      </w:r>
      <w:r>
        <w:rPr>
          <w:rFonts w:hint="eastAsia" w:ascii="仿宋_GB2312" w:eastAsia="仿宋_GB2312"/>
          <w:b w:val="0"/>
          <w:color w:val="auto"/>
          <w:sz w:val="32"/>
          <w:szCs w:val="32"/>
          <w:highlight w:val="none"/>
          <w:lang w:eastAsia="zh-CN"/>
        </w:rPr>
        <w:t>。</w:t>
      </w:r>
    </w:p>
    <w:p w14:paraId="467AAD27">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科学技术支出（类）科技条件与服务（款）技术创新服务体系（项）：支出决算数为1,252.00万元，比上年决算减少97.00万元，下降7.19%，主要原因是：</w:t>
      </w:r>
      <w:r>
        <w:rPr>
          <w:rFonts w:hint="eastAsia" w:ascii="仿宋_GB2312" w:eastAsia="仿宋_GB2312"/>
          <w:b w:val="0"/>
          <w:color w:val="auto"/>
          <w:sz w:val="32"/>
          <w:szCs w:val="32"/>
          <w:highlight w:val="none"/>
          <w:lang w:val="en-US" w:eastAsia="zh-CN"/>
        </w:rPr>
        <w:t>本年减少星创天地、双创基地等项目经费。</w:t>
      </w:r>
    </w:p>
    <w:p w14:paraId="1863502E">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科学技术支出（类）科学技术普及（款）科普活动（项）：支出决算数为0.00万元，比上年决算减少291.00万元，下降100.00%，主要原因是：</w:t>
      </w:r>
      <w:r>
        <w:rPr>
          <w:rFonts w:hint="eastAsia" w:ascii="仿宋_GB2312" w:eastAsia="仿宋_GB2312"/>
          <w:b w:val="0"/>
          <w:color w:val="auto"/>
          <w:sz w:val="32"/>
          <w:szCs w:val="32"/>
          <w:highlight w:val="none"/>
        </w:rPr>
        <w:t>科普活动经费上年度在本科目列支，本年调整至科技厅机关列支，导致经费较上年减少</w:t>
      </w:r>
      <w:r>
        <w:rPr>
          <w:rFonts w:hint="eastAsia" w:ascii="Times New Roman" w:hAnsi="Times New Roman" w:eastAsia="仿宋_GB2312" w:cs="Times New Roman"/>
          <w:color w:val="auto"/>
          <w:kern w:val="2"/>
          <w:sz w:val="32"/>
          <w:szCs w:val="32"/>
          <w:highlight w:val="none"/>
          <w:lang w:val="en-US" w:eastAsia="zh-CN" w:bidi="ar-SA"/>
        </w:rPr>
        <w:t>。</w:t>
      </w:r>
    </w:p>
    <w:p w14:paraId="468D2ADC">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10</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科学技术支出（类）科技交流与合作（款）国际交流与合作（项）：支出决算数为3,550.00万元，比上年决算增加680.00万元，增长23.69%，主要原因是：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年上海合作组织科技伙伴计划及国际科技合作计划项目经费支出增加。</w:t>
      </w:r>
    </w:p>
    <w:p w14:paraId="7E971B2A">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11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科学技术支出（类）科技交流与合作（款）其他科技交流与合作支出（项）：支出决算数为5,232.90万元，比上年决算增加2,234.90万元，增长74.55%，主要原因是：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年科技援疆计划项目经费增加。</w:t>
      </w:r>
    </w:p>
    <w:p w14:paraId="756853C7">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12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科学技术支出（类）科技重大项目（款）科技重大专项（项）：支出决算数为50,075.87万元，比上年决算增加5,499.17万元，增长12.34%，主要原因是：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年度</w:t>
      </w:r>
      <w:r>
        <w:rPr>
          <w:rFonts w:hint="default" w:ascii="Times New Roman" w:hAnsi="Times New Roman" w:eastAsia="仿宋_GB2312" w:cs="Times New Roman"/>
          <w:color w:val="auto"/>
          <w:kern w:val="0"/>
          <w:sz w:val="32"/>
          <w:szCs w:val="32"/>
          <w:highlight w:val="none"/>
          <w:lang w:val="en-US" w:eastAsia="zh-CN" w:bidi="ar"/>
        </w:rPr>
        <w:t>重大科技项目</w:t>
      </w:r>
      <w:r>
        <w:rPr>
          <w:rFonts w:hint="eastAsia" w:ascii="Times New Roman" w:hAnsi="Times New Roman" w:eastAsia="仿宋_GB2312" w:cs="Times New Roman"/>
          <w:color w:val="auto"/>
          <w:kern w:val="0"/>
          <w:sz w:val="32"/>
          <w:szCs w:val="32"/>
          <w:highlight w:val="none"/>
          <w:lang w:val="en-US" w:eastAsia="zh-CN" w:bidi="ar"/>
        </w:rPr>
        <w:t>支出增加。</w:t>
      </w:r>
    </w:p>
    <w:p w14:paraId="46D8C2DF">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13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科学技术支出（类）科技重大项目（款）重点研发计划（项）：支出决算数为99,803.14万元，比上年决算增加15,797.09万元，增长18.80%，主要原因是：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年度</w:t>
      </w:r>
      <w:r>
        <w:rPr>
          <w:rFonts w:hint="default" w:ascii="Times New Roman" w:hAnsi="Times New Roman" w:eastAsia="仿宋_GB2312" w:cs="Times New Roman"/>
          <w:color w:val="auto"/>
          <w:kern w:val="0"/>
          <w:sz w:val="32"/>
          <w:szCs w:val="32"/>
          <w:highlight w:val="none"/>
          <w:lang w:val="en-US" w:eastAsia="zh-CN" w:bidi="ar"/>
        </w:rPr>
        <w:t>重点研发任务专项项目经费</w:t>
      </w:r>
      <w:r>
        <w:rPr>
          <w:rFonts w:hint="eastAsia" w:ascii="Times New Roman" w:hAnsi="Times New Roman" w:eastAsia="仿宋_GB2312" w:cs="Times New Roman"/>
          <w:color w:val="auto"/>
          <w:kern w:val="0"/>
          <w:sz w:val="32"/>
          <w:szCs w:val="32"/>
          <w:highlight w:val="none"/>
          <w:lang w:val="en-US" w:eastAsia="zh-CN" w:bidi="ar"/>
        </w:rPr>
        <w:t>增加。</w:t>
      </w:r>
    </w:p>
    <w:p w14:paraId="67C535C7">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六、一般公共预算财政拨款基本支出决算情况说明</w:t>
      </w:r>
    </w:p>
    <w:p w14:paraId="42ED847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2025年度一般公共预算财政拨款基本支出822.68万元，其中：人员经费790.26万元，包括：离休费、退休费、抚恤金和其他对个人和家庭的补助。</w:t>
      </w:r>
    </w:p>
    <w:p w14:paraId="25BD43B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公用经费32.43万元，包括：委托业务费。</w:t>
      </w:r>
    </w:p>
    <w:p w14:paraId="65D0ECCB">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七、政府性基金预算财政拨款收入支出决算情况说明</w:t>
      </w:r>
    </w:p>
    <w:p w14:paraId="51432126">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本单位本年度无政府性基金预算财政拨款收入、支出及结转和结余，政府性基金预算财政拨款收入支出决算表为空表。</w:t>
      </w:r>
    </w:p>
    <w:p w14:paraId="6DD49681">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八、国有资本经营预算财政拨款收入支出决算情况说明</w:t>
      </w:r>
    </w:p>
    <w:p w14:paraId="4F69365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本单位本年度无国有资本经营预算财政拨款收入、支出及结转和结余，国有资本经营预算财政拨款收入支出决算表为空表。</w:t>
      </w:r>
    </w:p>
    <w:p w14:paraId="147617C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九、财政拨款“三公”经费支出决算情况说明</w:t>
      </w:r>
    </w:p>
    <w:p w14:paraId="476A3DEF">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2025年度财政拨款“三公”经费支出0.00万元，与上年相比无变化，主要原因是：</w:t>
      </w:r>
      <w:r>
        <w:rPr>
          <w:rFonts w:hint="default"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val="en-US" w:eastAsia="zh-CN"/>
        </w:rPr>
        <w:t>年与</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年度均未发生</w:t>
      </w:r>
      <w:r>
        <w:rPr>
          <w:rFonts w:ascii="仿宋_GB2312" w:eastAsia="仿宋_GB2312"/>
          <w:b w:val="0"/>
          <w:color w:val="auto"/>
          <w:sz w:val="32"/>
          <w:szCs w:val="32"/>
          <w:highlight w:val="none"/>
        </w:rPr>
        <w:t>财政拨款“三公”经费支出。其中：因公出国（境）费用支出0.00万元,占0.00%，与上年相比无变化，主要原因是：</w:t>
      </w:r>
      <w:r>
        <w:rPr>
          <w:rFonts w:hint="eastAsia" w:ascii="仿宋_GB2312" w:eastAsia="仿宋_GB2312"/>
          <w:b w:val="0"/>
          <w:color w:val="auto"/>
          <w:sz w:val="32"/>
          <w:szCs w:val="32"/>
          <w:highlight w:val="none"/>
          <w:lang w:eastAsia="zh-CN"/>
        </w:rPr>
        <w:t>我单位</w:t>
      </w:r>
      <w:r>
        <w:rPr>
          <w:rFonts w:hint="default"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val="en-US" w:eastAsia="zh-CN"/>
        </w:rPr>
        <w:t>年与</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年度均未发生</w:t>
      </w:r>
      <w:r>
        <w:rPr>
          <w:rFonts w:ascii="仿宋_GB2312" w:eastAsia="仿宋_GB2312"/>
          <w:b w:val="0"/>
          <w:color w:val="auto"/>
          <w:sz w:val="32"/>
          <w:szCs w:val="32"/>
          <w:highlight w:val="none"/>
        </w:rPr>
        <w:t>因公出国（境）费用支出；公务用车购置及运行维护费支出0.00万元，占0.00%，与上年相比无变化，主要原因是：</w:t>
      </w:r>
      <w:r>
        <w:rPr>
          <w:rFonts w:hint="eastAsia" w:ascii="仿宋_GB2312" w:eastAsia="仿宋_GB2312"/>
          <w:b w:val="0"/>
          <w:color w:val="auto"/>
          <w:sz w:val="32"/>
          <w:szCs w:val="32"/>
          <w:highlight w:val="none"/>
          <w:lang w:eastAsia="zh-CN"/>
        </w:rPr>
        <w:t>我单位</w:t>
      </w:r>
      <w:r>
        <w:rPr>
          <w:rFonts w:hint="default"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val="en-US" w:eastAsia="zh-CN"/>
        </w:rPr>
        <w:t>年与</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年度均未发生</w:t>
      </w:r>
      <w:r>
        <w:rPr>
          <w:rFonts w:ascii="仿宋_GB2312" w:eastAsia="仿宋_GB2312"/>
          <w:b w:val="0"/>
          <w:color w:val="auto"/>
          <w:sz w:val="32"/>
          <w:szCs w:val="32"/>
          <w:highlight w:val="none"/>
        </w:rPr>
        <w:t>公务用车购置及运行维护费支出；公务接待费支出0.00万元，占0.00%，与上年相比无变化，主要原因是：</w:t>
      </w:r>
      <w:r>
        <w:rPr>
          <w:rFonts w:hint="eastAsia" w:ascii="仿宋_GB2312" w:eastAsia="仿宋_GB2312"/>
          <w:b w:val="0"/>
          <w:color w:val="auto"/>
          <w:sz w:val="32"/>
          <w:szCs w:val="32"/>
          <w:highlight w:val="none"/>
          <w:lang w:eastAsia="zh-CN"/>
        </w:rPr>
        <w:t>我单位</w:t>
      </w:r>
      <w:r>
        <w:rPr>
          <w:rFonts w:hint="default"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val="en-US" w:eastAsia="zh-CN"/>
        </w:rPr>
        <w:t>年与</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年度均未发生</w:t>
      </w:r>
      <w:r>
        <w:rPr>
          <w:rFonts w:ascii="仿宋_GB2312" w:eastAsia="仿宋_GB2312"/>
          <w:b w:val="0"/>
          <w:color w:val="auto"/>
          <w:sz w:val="32"/>
          <w:szCs w:val="32"/>
          <w:highlight w:val="none"/>
        </w:rPr>
        <w:t>公务接待费支出。</w:t>
      </w:r>
    </w:p>
    <w:p w14:paraId="1AA0F946">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r>
        <w:rPr>
          <w:rFonts w:ascii="仿宋_GB2312" w:eastAsia="仿宋_GB2312"/>
          <w:b w:val="0"/>
          <w:color w:val="auto"/>
          <w:sz w:val="32"/>
          <w:szCs w:val="32"/>
          <w:highlight w:val="none"/>
        </w:rPr>
        <w:t>具体情况如下：</w:t>
      </w:r>
    </w:p>
    <w:p w14:paraId="7942A10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因公出国（境）费用0.00万元，开支内容包括</w:t>
      </w:r>
      <w:r>
        <w:rPr>
          <w:rFonts w:hint="eastAsia" w:ascii="仿宋_GB2312" w:eastAsia="仿宋_GB2312"/>
          <w:b w:val="0"/>
          <w:color w:val="auto"/>
          <w:sz w:val="32"/>
          <w:szCs w:val="32"/>
          <w:highlight w:val="none"/>
        </w:rPr>
        <w:t>本单位无因公出国（境）费用</w:t>
      </w:r>
      <w:r>
        <w:rPr>
          <w:rFonts w:ascii="仿宋_GB2312" w:eastAsia="仿宋_GB2312"/>
          <w:b w:val="0"/>
          <w:color w:val="auto"/>
          <w:sz w:val="32"/>
          <w:szCs w:val="32"/>
          <w:highlight w:val="none"/>
        </w:rPr>
        <w:t>。单位全年安排的因公出国（境）团组0个，因公出国（境）0人次。</w:t>
      </w:r>
    </w:p>
    <w:p w14:paraId="3096430A">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公务用车购置及运行维护费0.00万元，其中：公务用车购置费0.00万元，公务用车运行维护费0.00万元。公务用车运行维护费开支内容包括</w:t>
      </w:r>
      <w:r>
        <w:rPr>
          <w:rFonts w:hint="eastAsia" w:ascii="仿宋_GB2312" w:eastAsia="仿宋_GB2312"/>
          <w:b w:val="0"/>
          <w:color w:val="auto"/>
          <w:sz w:val="32"/>
          <w:szCs w:val="32"/>
          <w:highlight w:val="none"/>
        </w:rPr>
        <w:t>本单位无公务用车运行维护费</w:t>
      </w:r>
      <w:r>
        <w:rPr>
          <w:rFonts w:ascii="仿宋_GB2312" w:eastAsia="仿宋_GB2312"/>
          <w:b w:val="0"/>
          <w:color w:val="auto"/>
          <w:sz w:val="32"/>
          <w:szCs w:val="32"/>
          <w:highlight w:val="none"/>
        </w:rPr>
        <w:t>。公务用车购置数0辆，公务用车保有量0辆。国有资产占用情况中固定资产车辆0辆，与公务用车保有量差异原因是：</w:t>
      </w:r>
      <w:r>
        <w:rPr>
          <w:rFonts w:hint="eastAsia" w:ascii="仿宋_GB2312" w:eastAsia="仿宋_GB2312"/>
          <w:b w:val="0"/>
          <w:color w:val="auto"/>
          <w:sz w:val="32"/>
          <w:szCs w:val="32"/>
          <w:highlight w:val="none"/>
        </w:rPr>
        <w:t>本单位公务用车保有量与固定资产车辆一致无差异</w:t>
      </w:r>
      <w:r>
        <w:rPr>
          <w:rFonts w:ascii="仿宋_GB2312" w:eastAsia="仿宋_GB2312"/>
          <w:b w:val="0"/>
          <w:color w:val="auto"/>
          <w:sz w:val="32"/>
          <w:szCs w:val="32"/>
          <w:highlight w:val="none"/>
        </w:rPr>
        <w:t>。</w:t>
      </w:r>
    </w:p>
    <w:p w14:paraId="6D69B495">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公务接待费0.00万元，开支内容包括</w:t>
      </w:r>
      <w:r>
        <w:rPr>
          <w:rFonts w:hint="eastAsia" w:ascii="仿宋_GB2312" w:eastAsia="仿宋_GB2312"/>
          <w:b w:val="0"/>
          <w:color w:val="auto"/>
          <w:sz w:val="32"/>
          <w:szCs w:val="32"/>
          <w:highlight w:val="none"/>
        </w:rPr>
        <w:t>本单位无公务接待费</w:t>
      </w:r>
      <w:r>
        <w:rPr>
          <w:rFonts w:ascii="仿宋_GB2312" w:eastAsia="仿宋_GB2312"/>
          <w:b w:val="0"/>
          <w:color w:val="auto"/>
          <w:sz w:val="32"/>
          <w:szCs w:val="32"/>
          <w:highlight w:val="none"/>
        </w:rPr>
        <w:t>。单位全年安排的国内公务接待0批次，0人次。</w:t>
      </w:r>
    </w:p>
    <w:p w14:paraId="0F6398A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与全年预算相比，财政拨款“三公”经费支出全年预算数0.00万元，决算数0.00万元，预决算差异率0.00%，主要原因是：</w:t>
      </w:r>
      <w:r>
        <w:rPr>
          <w:rFonts w:hint="eastAsia" w:ascii="仿宋_GB2312" w:eastAsia="仿宋_GB2312"/>
          <w:color w:val="auto"/>
          <w:sz w:val="32"/>
          <w:szCs w:val="32"/>
          <w:highlight w:val="none"/>
        </w:rPr>
        <w:t>我单位无财政拨款“三公”经费支出</w:t>
      </w:r>
      <w:r>
        <w:rPr>
          <w:rFonts w:ascii="仿宋_GB2312" w:eastAsia="仿宋_GB2312"/>
          <w:b w:val="0"/>
          <w:color w:val="auto"/>
          <w:sz w:val="32"/>
          <w:szCs w:val="32"/>
          <w:highlight w:val="none"/>
        </w:rPr>
        <w:t>。其中：因公出国（境）费用全年预算数0.00万元，决算数0.00万元，预决算差异率0.00%，主要原因是：</w:t>
      </w:r>
      <w:r>
        <w:rPr>
          <w:rFonts w:hint="eastAsia" w:ascii="仿宋_GB2312" w:eastAsia="仿宋_GB2312"/>
          <w:color w:val="auto"/>
          <w:sz w:val="32"/>
          <w:szCs w:val="32"/>
          <w:highlight w:val="none"/>
          <w:lang w:val="zh-CN" w:eastAsia="zh-CN"/>
        </w:rPr>
        <w:t>我单位无因公出国（境）费</w:t>
      </w:r>
      <w:r>
        <w:rPr>
          <w:rFonts w:ascii="仿宋_GB2312" w:eastAsia="仿宋_GB2312"/>
          <w:b w:val="0"/>
          <w:color w:val="auto"/>
          <w:sz w:val="32"/>
          <w:szCs w:val="32"/>
          <w:highlight w:val="none"/>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我单位无公务用车购置费</w:t>
      </w:r>
      <w:r>
        <w:rPr>
          <w:rFonts w:ascii="仿宋_GB2312" w:eastAsia="仿宋_GB2312"/>
          <w:b w:val="0"/>
          <w:color w:val="auto"/>
          <w:sz w:val="32"/>
          <w:szCs w:val="32"/>
          <w:highlight w:val="none"/>
        </w:rPr>
        <w:t>；公务用车运行维护费全年预算数0.00万元，决算数0.00万元，预决算差异率0.00%，主要原因是：</w:t>
      </w:r>
      <w:r>
        <w:rPr>
          <w:rFonts w:hint="eastAsia" w:ascii="仿宋_GB2312" w:eastAsia="仿宋_GB2312"/>
          <w:color w:val="auto"/>
          <w:sz w:val="32"/>
          <w:szCs w:val="32"/>
          <w:highlight w:val="none"/>
          <w:lang w:val="zh-CN" w:eastAsia="zh-CN"/>
        </w:rPr>
        <w:t>我单位无公务用车运行维护费</w:t>
      </w:r>
      <w:r>
        <w:rPr>
          <w:rFonts w:ascii="仿宋_GB2312" w:eastAsia="仿宋_GB2312"/>
          <w:b w:val="0"/>
          <w:color w:val="auto"/>
          <w:sz w:val="32"/>
          <w:szCs w:val="32"/>
          <w:highlight w:val="none"/>
        </w:rPr>
        <w:t>；公务接待费全年预算数0.00万元，决算数0.00万元，预决算差异率0.00%，主要原因是：</w:t>
      </w:r>
      <w:r>
        <w:rPr>
          <w:rFonts w:hint="eastAsia" w:ascii="仿宋_GB2312" w:eastAsia="仿宋_GB2312"/>
          <w:color w:val="auto"/>
          <w:sz w:val="32"/>
          <w:szCs w:val="32"/>
          <w:highlight w:val="none"/>
        </w:rPr>
        <w:t>我单位无公务接待费</w:t>
      </w:r>
      <w:r>
        <w:rPr>
          <w:rFonts w:ascii="仿宋_GB2312" w:eastAsia="仿宋_GB2312"/>
          <w:b w:val="0"/>
          <w:color w:val="auto"/>
          <w:sz w:val="32"/>
          <w:szCs w:val="32"/>
          <w:highlight w:val="none"/>
        </w:rPr>
        <w:t>。</w:t>
      </w:r>
    </w:p>
    <w:p w14:paraId="7F05B13B">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十、其他重要事项的情况说明</w:t>
      </w:r>
    </w:p>
    <w:p w14:paraId="202034DC">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（一）机关运行经费及公用经费支出情况</w:t>
      </w:r>
    </w:p>
    <w:p w14:paraId="5E77E584">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w:t>
      </w:r>
      <w:r>
        <w:rPr>
          <w:rFonts w:hint="eastAsia" w:ascii="仿宋_GB2312" w:eastAsia="仿宋_GB2312"/>
          <w:b w:val="0"/>
          <w:color w:val="auto"/>
          <w:sz w:val="32"/>
          <w:szCs w:val="32"/>
          <w:highlight w:val="none"/>
        </w:rPr>
        <w:t>新疆维吾尔自治区科学技术厅（转制科研院所代编经费）</w:t>
      </w:r>
      <w:r>
        <w:rPr>
          <w:rFonts w:ascii="仿宋_GB2312" w:eastAsia="仿宋_GB2312"/>
          <w:b w:val="0"/>
          <w:color w:val="auto"/>
          <w:sz w:val="32"/>
          <w:szCs w:val="32"/>
          <w:highlight w:val="none"/>
        </w:rPr>
        <w:t>（事业单位）公用经费支出32.43万元，比上年增加32.43万元，增长100%，主要原因是：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年离退休人员老干部活动费调整至</w:t>
      </w:r>
      <w:r>
        <w:rPr>
          <w:rFonts w:hint="eastAsia" w:ascii="仿宋_GB2312" w:eastAsia="仿宋_GB2312"/>
          <w:b w:val="0"/>
          <w:color w:val="auto"/>
          <w:sz w:val="32"/>
          <w:szCs w:val="32"/>
          <w:highlight w:val="none"/>
          <w:lang w:eastAsia="zh-CN"/>
        </w:rPr>
        <w:t>商品和服务支出，</w:t>
      </w:r>
      <w:r>
        <w:rPr>
          <w:rFonts w:ascii="仿宋_GB2312" w:eastAsia="仿宋_GB2312"/>
          <w:b w:val="0"/>
          <w:color w:val="auto"/>
          <w:sz w:val="32"/>
          <w:szCs w:val="32"/>
          <w:highlight w:val="none"/>
        </w:rPr>
        <w:t>公用经费支出</w:t>
      </w:r>
      <w:r>
        <w:rPr>
          <w:rFonts w:hint="eastAsia" w:ascii="仿宋_GB2312" w:eastAsia="仿宋_GB2312"/>
          <w:b w:val="0"/>
          <w:color w:val="auto"/>
          <w:sz w:val="32"/>
          <w:szCs w:val="32"/>
          <w:highlight w:val="none"/>
          <w:lang w:eastAsia="zh-CN"/>
        </w:rPr>
        <w:t>增加</w:t>
      </w:r>
      <w:r>
        <w:rPr>
          <w:rFonts w:ascii="仿宋_GB2312" w:eastAsia="仿宋_GB2312"/>
          <w:b w:val="0"/>
          <w:color w:val="auto"/>
          <w:sz w:val="32"/>
          <w:szCs w:val="32"/>
          <w:highlight w:val="none"/>
        </w:rPr>
        <w:t>。</w:t>
      </w:r>
    </w:p>
    <w:p w14:paraId="0388B36C">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（二）政府采购情况</w:t>
      </w:r>
    </w:p>
    <w:p w14:paraId="28893E86">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2025年度政府采购支出总额0.00万元，其中：政府采购货物支出0.00万元、政府采购工程支出0.00万元、政府采购服务支出0.00万元。</w:t>
      </w:r>
    </w:p>
    <w:p w14:paraId="3146A67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授予中小企业合同金额0.00万元，占政府采购支出总额的0.00%，其中：授予小微企业合同金额0.00万元，占政府采购支出总额的0.00%。</w:t>
      </w:r>
    </w:p>
    <w:p w14:paraId="197B6A8C">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（三）国有资产占用情况说明</w:t>
      </w:r>
    </w:p>
    <w:p w14:paraId="78DC8A06">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color w:val="auto"/>
          <w:sz w:val="32"/>
          <w:szCs w:val="32"/>
          <w:highlight w:val="none"/>
        </w:rPr>
        <w:t>我单位无其他用车</w:t>
      </w:r>
      <w:r>
        <w:rPr>
          <w:rFonts w:ascii="仿宋_GB2312" w:eastAsia="仿宋_GB2312"/>
          <w:b w:val="0"/>
          <w:color w:val="auto"/>
          <w:sz w:val="32"/>
          <w:szCs w:val="32"/>
          <w:highlight w:val="none"/>
        </w:rPr>
        <w:t>;单价100万元（含）以上设备（不含车辆）0台。</w:t>
      </w:r>
    </w:p>
    <w:p w14:paraId="3DBBD56D">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十一、预算绩效的情况说明</w:t>
      </w:r>
    </w:p>
    <w:p w14:paraId="19D7ECD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根据预算绩效管理要求，本单位2025年度</w:t>
      </w:r>
      <w:r>
        <w:rPr>
          <w:rFonts w:hint="eastAsia" w:ascii="仿宋_GB2312" w:eastAsia="仿宋_GB2312"/>
          <w:color w:val="auto"/>
          <w:spacing w:val="0"/>
          <w:sz w:val="32"/>
          <w:szCs w:val="32"/>
          <w:highlight w:val="none"/>
          <w:lang w:val="en-US" w:eastAsia="zh-CN"/>
        </w:rPr>
        <w:t>预算绩效评价项目</w:t>
      </w:r>
      <w:r>
        <w:rPr>
          <w:rFonts w:hint="default" w:ascii="仿宋_GB2312" w:eastAsia="仿宋_GB2312"/>
          <w:color w:val="auto"/>
          <w:spacing w:val="0"/>
          <w:sz w:val="32"/>
          <w:szCs w:val="32"/>
          <w:highlight w:val="none"/>
          <w:lang w:val="en-US" w:eastAsia="zh-CN"/>
        </w:rPr>
        <w:t>17</w:t>
      </w:r>
      <w:r>
        <w:rPr>
          <w:rFonts w:hint="eastAsia" w:ascii="仿宋_GB2312" w:eastAsia="仿宋_GB2312"/>
          <w:color w:val="auto"/>
          <w:spacing w:val="0"/>
          <w:sz w:val="32"/>
          <w:szCs w:val="32"/>
          <w:highlight w:val="none"/>
          <w:lang w:val="en-US" w:eastAsia="zh-CN"/>
        </w:rPr>
        <w:t>个，全年预算数</w:t>
      </w:r>
      <w:r>
        <w:rPr>
          <w:rFonts w:hint="default" w:ascii="仿宋_GB2312" w:eastAsia="仿宋_GB2312"/>
          <w:color w:val="auto"/>
          <w:spacing w:val="0"/>
          <w:sz w:val="32"/>
          <w:szCs w:val="32"/>
          <w:highlight w:val="none"/>
          <w:lang w:val="en-US" w:eastAsia="zh-CN"/>
        </w:rPr>
        <w:t>249</w:t>
      </w:r>
      <w:r>
        <w:rPr>
          <w:rFonts w:hint="eastAsia" w:ascii="仿宋_GB2312" w:eastAsia="仿宋_GB2312"/>
          <w:color w:val="auto"/>
          <w:spacing w:val="0"/>
          <w:sz w:val="32"/>
          <w:szCs w:val="32"/>
          <w:highlight w:val="none"/>
          <w:lang w:val="en-US" w:eastAsia="zh-CN"/>
        </w:rPr>
        <w:t>,</w:t>
      </w:r>
      <w:r>
        <w:rPr>
          <w:rFonts w:hint="default" w:ascii="仿宋_GB2312" w:eastAsia="仿宋_GB2312"/>
          <w:color w:val="auto"/>
          <w:spacing w:val="0"/>
          <w:sz w:val="32"/>
          <w:szCs w:val="32"/>
          <w:highlight w:val="none"/>
          <w:lang w:val="en-US" w:eastAsia="zh-CN"/>
        </w:rPr>
        <w:t>759.91</w:t>
      </w:r>
      <w:r>
        <w:rPr>
          <w:rFonts w:hint="eastAsia" w:ascii="仿宋_GB2312" w:eastAsia="仿宋_GB2312"/>
          <w:color w:val="auto"/>
          <w:spacing w:val="0"/>
          <w:sz w:val="32"/>
          <w:szCs w:val="32"/>
          <w:highlight w:val="none"/>
          <w:lang w:val="en-US" w:eastAsia="zh-CN"/>
        </w:rPr>
        <w:t>万元，全年执行数</w:t>
      </w:r>
      <w:r>
        <w:rPr>
          <w:rFonts w:hint="default" w:ascii="仿宋_GB2312" w:eastAsia="仿宋_GB2312"/>
          <w:color w:val="auto"/>
          <w:spacing w:val="0"/>
          <w:sz w:val="32"/>
          <w:szCs w:val="32"/>
          <w:highlight w:val="none"/>
          <w:lang w:val="en-US" w:eastAsia="zh-CN"/>
        </w:rPr>
        <w:t>249</w:t>
      </w:r>
      <w:r>
        <w:rPr>
          <w:rFonts w:hint="eastAsia" w:ascii="仿宋_GB2312" w:eastAsia="仿宋_GB2312"/>
          <w:color w:val="auto"/>
          <w:spacing w:val="0"/>
          <w:sz w:val="32"/>
          <w:szCs w:val="32"/>
          <w:highlight w:val="none"/>
          <w:lang w:val="en-US" w:eastAsia="zh-CN"/>
        </w:rPr>
        <w:t>,</w:t>
      </w:r>
      <w:r>
        <w:rPr>
          <w:rFonts w:hint="default" w:ascii="仿宋_GB2312" w:eastAsia="仿宋_GB2312"/>
          <w:color w:val="auto"/>
          <w:spacing w:val="0"/>
          <w:sz w:val="32"/>
          <w:szCs w:val="32"/>
          <w:highlight w:val="none"/>
          <w:lang w:val="en-US" w:eastAsia="zh-CN"/>
        </w:rPr>
        <w:t>759.91</w:t>
      </w:r>
      <w:r>
        <w:rPr>
          <w:rFonts w:hint="eastAsia" w:ascii="仿宋_GB2312" w:eastAsia="仿宋_GB2312"/>
          <w:color w:val="auto"/>
          <w:spacing w:val="0"/>
          <w:sz w:val="32"/>
          <w:szCs w:val="32"/>
          <w:highlight w:val="none"/>
          <w:lang w:val="en-US" w:eastAsia="zh-CN"/>
        </w:rPr>
        <w:t>万元。</w:t>
      </w:r>
      <w:r>
        <w:rPr>
          <w:rFonts w:ascii="仿宋_GB2312" w:eastAsia="仿宋_GB2312"/>
          <w:b w:val="0"/>
          <w:color w:val="auto"/>
          <w:sz w:val="32"/>
          <w:szCs w:val="32"/>
          <w:highlight w:val="none"/>
        </w:rPr>
        <w:t>预算绩效管理取得的成效</w:t>
      </w:r>
      <w:r>
        <w:rPr>
          <w:rFonts w:hint="eastAsia" w:ascii="仿宋_GB2312" w:hAnsi="仿宋_GB2312" w:eastAsia="仿宋_GB2312" w:cs="仿宋_GB2312"/>
          <w:b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一是推进事前绩效评估工作。科技厅高度重视事前</w:t>
      </w:r>
      <w:bookmarkStart w:id="0" w:name="_GoBack"/>
      <w:bookmarkEnd w:id="0"/>
      <w:r>
        <w:rPr>
          <w:rFonts w:hint="eastAsia" w:ascii="仿宋_GB2312" w:hAnsi="仿宋_GB2312" w:eastAsia="仿宋_GB2312" w:cs="仿宋_GB2312"/>
          <w:b w:val="0"/>
          <w:bCs w:val="0"/>
          <w:color w:val="auto"/>
          <w:sz w:val="32"/>
          <w:szCs w:val="32"/>
          <w:highlight w:val="none"/>
          <w:lang w:eastAsia="zh-CN"/>
        </w:rPr>
        <w:t>绩效评估在预算管理中的源头管控工作，将其作为提升财政资金使用效益的关键环节。坚持“无评估、不预算”的原则，对所有新设立的重大项目和重要政策实现事前绩效评估全覆盖。</w:t>
      </w:r>
      <w:r>
        <w:rPr>
          <w:rFonts w:hint="eastAsia" w:ascii="仿宋_GB2312" w:hAnsi="仿宋_GB2312" w:eastAsia="仿宋_GB2312" w:cs="仿宋_GB2312"/>
          <w:b w:val="0"/>
          <w:bCs w:val="0"/>
          <w:color w:val="auto"/>
          <w:sz w:val="32"/>
          <w:szCs w:val="32"/>
          <w:highlight w:val="none"/>
          <w:lang w:val="en-US" w:eastAsia="zh-CN"/>
        </w:rPr>
        <w:t>2025年对3个新申报的项目开展事前评估，对2个政策时间超过5年的项目开展事前评估；二是强化绩效目标</w:t>
      </w:r>
      <w:r>
        <w:rPr>
          <w:rFonts w:hint="eastAsia" w:ascii="仿宋_GB2312" w:hAnsi="仿宋_GB2312" w:eastAsia="仿宋_GB2312" w:cs="仿宋_GB2312"/>
          <w:b w:val="0"/>
          <w:bCs w:val="0"/>
          <w:color w:val="auto"/>
          <w:sz w:val="32"/>
          <w:szCs w:val="32"/>
          <w:highlight w:val="none"/>
          <w:lang w:eastAsia="zh-CN"/>
        </w:rPr>
        <w:t>编制。按照自治区财政厅20</w:t>
      </w:r>
      <w:r>
        <w:rPr>
          <w:rFonts w:hint="eastAsia" w:ascii="仿宋_GB2312" w:hAnsi="仿宋_GB2312" w:eastAsia="仿宋_GB2312" w:cs="仿宋_GB2312"/>
          <w:b w:val="0"/>
          <w:bCs w:val="0"/>
          <w:color w:val="auto"/>
          <w:sz w:val="32"/>
          <w:szCs w:val="32"/>
          <w:highlight w:val="none"/>
          <w:lang w:val="en-US" w:eastAsia="zh-CN"/>
        </w:rPr>
        <w:t>25</w:t>
      </w:r>
      <w:r>
        <w:rPr>
          <w:rFonts w:hint="eastAsia" w:ascii="仿宋_GB2312" w:hAnsi="仿宋_GB2312" w:eastAsia="仿宋_GB2312" w:cs="仿宋_GB2312"/>
          <w:b w:val="0"/>
          <w:bCs w:val="0"/>
          <w:color w:val="auto"/>
          <w:sz w:val="32"/>
          <w:szCs w:val="32"/>
          <w:highlight w:val="none"/>
          <w:lang w:eastAsia="zh-CN"/>
        </w:rPr>
        <w:t>年度预算编制要求，及时分解并下达预算编制任务，科学制定科技厅及归口预算单位年初预算项目</w:t>
      </w:r>
      <w:r>
        <w:rPr>
          <w:rFonts w:hint="eastAsia" w:ascii="仿宋_GB2312" w:hAnsi="仿宋_GB2312" w:eastAsia="仿宋_GB2312" w:cs="仿宋_GB2312"/>
          <w:b w:val="0"/>
          <w:bCs w:val="0"/>
          <w:color w:val="auto"/>
          <w:sz w:val="32"/>
          <w:szCs w:val="32"/>
          <w:highlight w:val="none"/>
          <w:lang w:val="en-US" w:eastAsia="zh-CN"/>
        </w:rPr>
        <w:t>绩效目标表和部门整体绩效目标表，</w:t>
      </w:r>
      <w:r>
        <w:rPr>
          <w:rFonts w:hint="eastAsia" w:ascii="仿宋_GB2312" w:hAnsi="仿宋_GB2312" w:eastAsia="仿宋_GB2312" w:cs="仿宋_GB2312"/>
          <w:b w:val="0"/>
          <w:bCs w:val="0"/>
          <w:color w:val="auto"/>
          <w:sz w:val="32"/>
          <w:szCs w:val="32"/>
          <w:highlight w:val="none"/>
          <w:lang w:eastAsia="zh-CN"/>
        </w:rPr>
        <w:t>进一步规范收支行为，增强预算约束力和监督管理效能；三是实现绩效监控全覆盖。持续跟踪项目进度，及时纠正实施过程中存在的问题</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于202</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eastAsia="zh-CN"/>
        </w:rPr>
        <w:t>年</w:t>
      </w:r>
      <w:r>
        <w:rPr>
          <w:rFonts w:hint="eastAsia" w:ascii="仿宋_GB2312" w:hAnsi="仿宋_GB2312" w:eastAsia="仿宋_GB2312" w:cs="仿宋_GB2312"/>
          <w:b w:val="0"/>
          <w:bCs w:val="0"/>
          <w:color w:val="auto"/>
          <w:sz w:val="32"/>
          <w:szCs w:val="32"/>
          <w:highlight w:val="none"/>
          <w:lang w:val="en-US" w:eastAsia="zh-CN"/>
        </w:rPr>
        <w:t>5月、8月组织对</w:t>
      </w:r>
      <w:r>
        <w:rPr>
          <w:rFonts w:hint="eastAsia" w:ascii="仿宋_GB2312" w:hAnsi="仿宋_GB2312" w:eastAsia="仿宋_GB2312" w:cs="仿宋_GB2312"/>
          <w:b w:val="0"/>
          <w:bCs w:val="0"/>
          <w:color w:val="auto"/>
          <w:sz w:val="32"/>
          <w:szCs w:val="32"/>
          <w:highlight w:val="none"/>
          <w:lang w:eastAsia="zh-CN"/>
        </w:rPr>
        <w:t>科技厅及归口管理预算单位全部项目支出开展绩效监控，实现监控范围全覆盖，确保项目按计划推进；</w:t>
      </w:r>
      <w:r>
        <w:rPr>
          <w:rFonts w:hint="eastAsia" w:ascii="仿宋_GB2312" w:hAnsi="仿宋_GB2312" w:eastAsia="仿宋_GB2312" w:cs="仿宋_GB2312"/>
          <w:b w:val="0"/>
          <w:bCs w:val="0"/>
          <w:color w:val="auto"/>
          <w:sz w:val="32"/>
          <w:szCs w:val="32"/>
          <w:highlight w:val="none"/>
          <w:lang w:val="en-US" w:eastAsia="zh-CN"/>
        </w:rPr>
        <w:t>四是狠抓监控结果应用</w:t>
      </w:r>
      <w:r>
        <w:rPr>
          <w:rFonts w:hint="eastAsia" w:ascii="仿宋_GB2312" w:hAnsi="仿宋_GB2312" w:eastAsia="仿宋_GB2312" w:cs="仿宋_GB2312"/>
          <w:b w:val="0"/>
          <w:bCs w:val="0"/>
          <w:color w:val="auto"/>
          <w:kern w:val="0"/>
          <w:sz w:val="32"/>
          <w:szCs w:val="32"/>
          <w:highlight w:val="none"/>
          <w:lang w:val="en-US" w:eastAsia="zh-CN" w:bidi="ar"/>
        </w:rPr>
        <w:t>。</w:t>
      </w:r>
      <w:r>
        <w:rPr>
          <w:rFonts w:hint="eastAsia" w:ascii="仿宋_GB2312" w:hAnsi="仿宋_GB2312" w:eastAsia="仿宋_GB2312" w:cs="仿宋_GB2312"/>
          <w:b w:val="0"/>
          <w:bCs w:val="0"/>
          <w:color w:val="auto"/>
          <w:sz w:val="32"/>
          <w:szCs w:val="32"/>
          <w:highlight w:val="none"/>
          <w:lang w:val="en-US" w:eastAsia="zh-CN"/>
        </w:rPr>
        <w:t>强化绩效监控结果分析，对绩效监控结果标记为“红标”的项目</w:t>
      </w:r>
      <w:r>
        <w:rPr>
          <w:rFonts w:hint="eastAsia" w:ascii="仿宋_GB2312" w:hAnsi="仿宋_GB2312" w:eastAsia="仿宋_GB2312" w:cs="仿宋_GB2312"/>
          <w:b w:val="0"/>
          <w:bCs w:val="0"/>
          <w:color w:val="auto"/>
          <w:sz w:val="32"/>
          <w:szCs w:val="32"/>
          <w:highlight w:val="none"/>
          <w:lang w:eastAsia="zh-CN"/>
        </w:rPr>
        <w:t>认真分析偏差原因，</w:t>
      </w:r>
      <w:r>
        <w:rPr>
          <w:rFonts w:hint="eastAsia" w:ascii="仿宋_GB2312" w:hAnsi="仿宋_GB2312" w:eastAsia="仿宋_GB2312" w:cs="仿宋_GB2312"/>
          <w:b w:val="0"/>
          <w:bCs w:val="0"/>
          <w:color w:val="auto"/>
          <w:sz w:val="32"/>
          <w:szCs w:val="32"/>
          <w:highlight w:val="none"/>
          <w:lang w:val="en-US" w:eastAsia="zh-CN"/>
        </w:rPr>
        <w:t>采取切实有力措施进行整改，督促项目按进度组织实施，保障绩效目标如期实现；五</w:t>
      </w:r>
      <w:r>
        <w:rPr>
          <w:rFonts w:hint="eastAsia" w:ascii="仿宋_GB2312" w:hAnsi="仿宋_GB2312" w:eastAsia="仿宋_GB2312" w:cs="仿宋_GB2312"/>
          <w:b w:val="0"/>
          <w:bCs w:val="0"/>
          <w:color w:val="auto"/>
          <w:sz w:val="32"/>
          <w:szCs w:val="32"/>
          <w:highlight w:val="none"/>
          <w:lang w:eastAsia="zh-CN"/>
        </w:rPr>
        <w:t>是加快预算执行进度</w:t>
      </w:r>
      <w:r>
        <w:rPr>
          <w:rFonts w:hint="eastAsia" w:ascii="仿宋_GB2312" w:hAnsi="仿宋_GB2312" w:eastAsia="仿宋_GB2312" w:cs="仿宋_GB2312"/>
          <w:b w:val="0"/>
          <w:bCs w:val="0"/>
          <w:color w:val="auto"/>
          <w:sz w:val="32"/>
          <w:szCs w:val="32"/>
          <w:highlight w:val="none"/>
          <w:lang w:val="en-US" w:eastAsia="zh-CN"/>
        </w:rPr>
        <w:t>。2025年每月对</w:t>
      </w:r>
      <w:r>
        <w:rPr>
          <w:rFonts w:hint="eastAsia" w:ascii="仿宋_GB2312" w:hAnsi="仿宋_GB2312" w:eastAsia="仿宋_GB2312" w:cs="仿宋_GB2312"/>
          <w:b w:val="0"/>
          <w:bCs w:val="0"/>
          <w:color w:val="auto"/>
          <w:sz w:val="32"/>
          <w:szCs w:val="32"/>
          <w:highlight w:val="none"/>
          <w:lang w:eastAsia="zh-CN"/>
        </w:rPr>
        <w:t>归口管理预算单位的</w:t>
      </w:r>
      <w:r>
        <w:rPr>
          <w:rFonts w:hint="eastAsia" w:ascii="仿宋_GB2312" w:hAnsi="仿宋_GB2312" w:eastAsia="仿宋_GB2312" w:cs="仿宋_GB2312"/>
          <w:b w:val="0"/>
          <w:bCs w:val="0"/>
          <w:color w:val="auto"/>
          <w:sz w:val="32"/>
          <w:szCs w:val="32"/>
          <w:highlight w:val="none"/>
          <w:lang w:val="en-US" w:eastAsia="zh-CN"/>
        </w:rPr>
        <w:t>预算执行情况进行排名，形成比学赶超的良好氛围；及时</w:t>
      </w:r>
      <w:r>
        <w:rPr>
          <w:rFonts w:hint="eastAsia" w:ascii="仿宋_GB2312" w:hAnsi="仿宋_GB2312" w:eastAsia="仿宋_GB2312" w:cs="仿宋_GB2312"/>
          <w:b w:val="0"/>
          <w:bCs w:val="0"/>
          <w:color w:val="auto"/>
          <w:sz w:val="32"/>
          <w:szCs w:val="32"/>
          <w:highlight w:val="none"/>
          <w:lang w:eastAsia="zh-CN"/>
        </w:rPr>
        <w:t>组织部门预算培训工作，安排部署预算管理和经费使用工作，对资金使用滞后的相关单位进行</w:t>
      </w:r>
      <w:r>
        <w:rPr>
          <w:rFonts w:hint="eastAsia" w:ascii="仿宋_GB2312" w:hAnsi="仿宋_GB2312" w:eastAsia="仿宋_GB2312" w:cs="仿宋_GB2312"/>
          <w:b w:val="0"/>
          <w:bCs w:val="0"/>
          <w:color w:val="auto"/>
          <w:sz w:val="32"/>
          <w:szCs w:val="32"/>
          <w:highlight w:val="none"/>
          <w:lang w:val="en-US" w:eastAsia="zh-CN"/>
        </w:rPr>
        <w:t>提醒，</w:t>
      </w:r>
      <w:r>
        <w:rPr>
          <w:rFonts w:hint="eastAsia" w:ascii="仿宋_GB2312" w:hAnsi="仿宋_GB2312" w:eastAsia="仿宋_GB2312" w:cs="仿宋_GB2312"/>
          <w:b w:val="0"/>
          <w:bCs w:val="0"/>
          <w:color w:val="auto"/>
          <w:sz w:val="32"/>
          <w:szCs w:val="32"/>
          <w:highlight w:val="none"/>
          <w:lang w:eastAsia="zh-CN"/>
        </w:rPr>
        <w:t>并对其他执行进度过缓的单位进行通报，进一步提高部门整体预算执行率；六是系统开展绩效管理培训。为全面提升各预算单位绩效管理水平，科技厅于</w:t>
      </w:r>
      <w:r>
        <w:rPr>
          <w:rFonts w:hint="eastAsia" w:ascii="仿宋_GB2312" w:hAnsi="仿宋_GB2312" w:eastAsia="仿宋_GB2312" w:cs="仿宋_GB2312"/>
          <w:b w:val="0"/>
          <w:bCs w:val="0"/>
          <w:color w:val="auto"/>
          <w:sz w:val="32"/>
          <w:szCs w:val="32"/>
          <w:highlight w:val="none"/>
          <w:lang w:val="en-US" w:eastAsia="zh-CN"/>
        </w:rPr>
        <w:t>2025年11月5日组织预算绩效管理专题培训，面向厅内各处室、直属事业单位及归口管理的科研院所的相关负责人及业务骨干，开展系统性、分层次的能力建设。培训内容涵盖绩效目标编制、全过程绩效监控、评价指标体系构建、绩效结果运用等重点环节，强化各单位对绩效管理政策与操作流程的理解。通过培训，进一步明确绩效主体责任，提升绩效管理人员的专业能力，为构建规范、高效、透明的预算绩效管理体系提供了有力支撑；七是落实评价与公开制度。对照年初绩效目标逐项评估实施效果，综合评价资金使用效益，强化结果运用，形成财政资金评价报告，为下一年度项目资金申请提供依据。</w:t>
      </w:r>
      <w:r>
        <w:rPr>
          <w:rFonts w:hint="eastAsia" w:ascii="仿宋_GB2312" w:hAnsi="仿宋_GB2312" w:eastAsia="仿宋_GB2312" w:cs="仿宋_GB2312"/>
          <w:b w:val="0"/>
          <w:bCs w:val="0"/>
          <w:color w:val="auto"/>
          <w:kern w:val="0"/>
          <w:sz w:val="32"/>
          <w:szCs w:val="32"/>
          <w:highlight w:val="none"/>
          <w:lang w:eastAsia="zh-CN"/>
        </w:rPr>
        <w:t>及时开展</w:t>
      </w:r>
      <w:r>
        <w:rPr>
          <w:rFonts w:hint="eastAsia" w:ascii="仿宋_GB2312" w:hAnsi="仿宋_GB2312" w:eastAsia="仿宋_GB2312" w:cs="仿宋_GB2312"/>
          <w:b w:val="0"/>
          <w:bCs w:val="0"/>
          <w:color w:val="auto"/>
          <w:kern w:val="0"/>
          <w:sz w:val="32"/>
          <w:szCs w:val="32"/>
          <w:highlight w:val="none"/>
          <w:lang w:eastAsia="zh-CN"/>
        </w:rPr>
        <w:fldChar w:fldCharType="begin"/>
      </w:r>
      <w:r>
        <w:rPr>
          <w:rFonts w:hint="eastAsia" w:ascii="仿宋_GB2312" w:hAnsi="仿宋_GB2312" w:eastAsia="仿宋_GB2312" w:cs="仿宋_GB2312"/>
          <w:b w:val="0"/>
          <w:bCs w:val="0"/>
          <w:color w:val="auto"/>
          <w:kern w:val="0"/>
          <w:sz w:val="32"/>
          <w:szCs w:val="32"/>
          <w:highlight w:val="none"/>
          <w:lang w:eastAsia="zh-CN"/>
        </w:rPr>
        <w:instrText xml:space="preserve"> HYPERLINK "http://kjt.xinjiang.gov.cn/kjt/c100260/202001/73ca7469e14a47ecb7f7fd6b8deaf182.shtml" \t "http://kjt.xinjiang.gov.cn/kjt/c100260/_blank" </w:instrText>
      </w:r>
      <w:r>
        <w:rPr>
          <w:rFonts w:hint="eastAsia" w:ascii="仿宋_GB2312" w:hAnsi="仿宋_GB2312" w:eastAsia="仿宋_GB2312" w:cs="仿宋_GB2312"/>
          <w:b w:val="0"/>
          <w:bCs w:val="0"/>
          <w:color w:val="auto"/>
          <w:kern w:val="0"/>
          <w:sz w:val="32"/>
          <w:szCs w:val="32"/>
          <w:highlight w:val="none"/>
          <w:lang w:eastAsia="zh-CN"/>
        </w:rPr>
        <w:fldChar w:fldCharType="separate"/>
      </w:r>
      <w:r>
        <w:rPr>
          <w:rFonts w:hint="eastAsia" w:ascii="仿宋_GB2312" w:hAnsi="仿宋_GB2312" w:eastAsia="仿宋_GB2312" w:cs="仿宋_GB2312"/>
          <w:b w:val="0"/>
          <w:bCs w:val="0"/>
          <w:color w:val="auto"/>
          <w:kern w:val="0"/>
          <w:sz w:val="32"/>
          <w:szCs w:val="32"/>
          <w:highlight w:val="none"/>
          <w:lang w:eastAsia="zh-CN"/>
        </w:rPr>
        <w:t>科技厅</w:t>
      </w:r>
      <w:r>
        <w:rPr>
          <w:rFonts w:hint="eastAsia" w:ascii="仿宋_GB2312" w:hAnsi="仿宋_GB2312" w:eastAsia="仿宋_GB2312" w:cs="仿宋_GB2312"/>
          <w:b w:val="0"/>
          <w:bCs w:val="0"/>
          <w:color w:val="auto"/>
          <w:kern w:val="0"/>
          <w:sz w:val="32"/>
          <w:szCs w:val="32"/>
          <w:highlight w:val="none"/>
          <w:lang w:val="en-US" w:eastAsia="zh-CN"/>
        </w:rPr>
        <w:t>2024年部门决算、</w:t>
      </w:r>
      <w:r>
        <w:rPr>
          <w:rFonts w:hint="eastAsia" w:ascii="仿宋_GB2312" w:hAnsi="仿宋_GB2312" w:eastAsia="仿宋_GB2312" w:cs="仿宋_GB2312"/>
          <w:b w:val="0"/>
          <w:bCs w:val="0"/>
          <w:color w:val="auto"/>
          <w:kern w:val="0"/>
          <w:sz w:val="32"/>
          <w:szCs w:val="32"/>
          <w:highlight w:val="none"/>
          <w:lang w:eastAsia="zh-CN"/>
        </w:rPr>
        <w:t>202</w:t>
      </w:r>
      <w:r>
        <w:rPr>
          <w:rFonts w:hint="eastAsia" w:ascii="仿宋_GB2312" w:hAnsi="仿宋_GB2312" w:eastAsia="仿宋_GB2312" w:cs="仿宋_GB2312"/>
          <w:b w:val="0"/>
          <w:bCs w:val="0"/>
          <w:color w:val="auto"/>
          <w:kern w:val="0"/>
          <w:sz w:val="32"/>
          <w:szCs w:val="32"/>
          <w:highlight w:val="none"/>
          <w:lang w:val="en-US" w:eastAsia="zh-CN"/>
        </w:rPr>
        <w:t>5</w:t>
      </w:r>
      <w:r>
        <w:rPr>
          <w:rFonts w:hint="eastAsia" w:ascii="仿宋_GB2312" w:hAnsi="仿宋_GB2312" w:eastAsia="仿宋_GB2312" w:cs="仿宋_GB2312"/>
          <w:b w:val="0"/>
          <w:bCs w:val="0"/>
          <w:color w:val="auto"/>
          <w:kern w:val="0"/>
          <w:sz w:val="32"/>
          <w:szCs w:val="32"/>
          <w:highlight w:val="none"/>
          <w:lang w:eastAsia="zh-CN"/>
        </w:rPr>
        <w:t>年部门预算及“三公”经费信息公开</w:t>
      </w:r>
      <w:r>
        <w:rPr>
          <w:rFonts w:hint="eastAsia" w:ascii="仿宋_GB2312" w:hAnsi="仿宋_GB2312" w:eastAsia="仿宋_GB2312" w:cs="仿宋_GB2312"/>
          <w:b w:val="0"/>
          <w:bCs w:val="0"/>
          <w:color w:val="auto"/>
          <w:kern w:val="0"/>
          <w:sz w:val="32"/>
          <w:szCs w:val="32"/>
          <w:highlight w:val="none"/>
          <w:lang w:eastAsia="zh-CN"/>
        </w:rPr>
        <w:fldChar w:fldCharType="end"/>
      </w:r>
      <w:r>
        <w:rPr>
          <w:rFonts w:hint="eastAsia" w:ascii="仿宋_GB2312" w:hAnsi="仿宋_GB2312" w:eastAsia="仿宋_GB2312" w:cs="仿宋_GB2312"/>
          <w:b w:val="0"/>
          <w:bCs w:val="0"/>
          <w:color w:val="auto"/>
          <w:kern w:val="0"/>
          <w:sz w:val="32"/>
          <w:szCs w:val="32"/>
          <w:highlight w:val="none"/>
          <w:lang w:eastAsia="zh-CN"/>
        </w:rPr>
        <w:t>等工作，有效提高预算公开和绩效工作质量。</w:t>
      </w:r>
      <w:r>
        <w:rPr>
          <w:rFonts w:hint="eastAsia" w:ascii="仿宋_GB2312" w:hAnsi="仿宋_GB2312" w:eastAsia="仿宋_GB2312" w:cs="仿宋_GB2312"/>
          <w:b w:val="0"/>
          <w:bCs w:val="0"/>
          <w:color w:val="auto"/>
          <w:sz w:val="32"/>
          <w:szCs w:val="32"/>
          <w:highlight w:val="none"/>
        </w:rPr>
        <w:t>发现的问题及原</w:t>
      </w:r>
      <w:r>
        <w:rPr>
          <w:rFonts w:hint="eastAsia" w:ascii="仿宋_GB2312" w:hAnsi="仿宋_GB2312" w:eastAsia="仿宋_GB2312" w:cs="仿宋_GB2312"/>
          <w:b w:val="0"/>
          <w:bCs w:val="0"/>
          <w:color w:val="auto"/>
          <w:kern w:val="0"/>
          <w:sz w:val="32"/>
          <w:szCs w:val="32"/>
          <w:highlight w:val="none"/>
          <w:lang w:eastAsia="zh-CN"/>
        </w:rPr>
        <w:t>因：一是预算执行存在偏差。由于个别项目指标下达时间较晚，在预算执行中造成预算子项调剂现象；对个别项目资金使用方面预算不够细致，出现实际支出数超出了预算申报数或出现项目资金结余数额多的情况；二是预算绩效管理水平仍有欠缺。在2025年预算绩效管理工作中，存在“重投入轻管理、重支出轻绩效”的情况，对全面实施预算绩效管理的要求认识还不到位，项目申报、实施等环节与预算绩效管理各个环节联系不够紧密；同时预算绩效管理工作中，面对专业人手不足、绩效管理水平欠缺的情况下，坚持“滚石上山”，提升的空间还是很大；三是部分绩效指标设定不够科学合理。项目绩效指标在设定时过于笼统，不易操作，在项目实际执行过程中该指标的代表性不强，考核指标与项目总体目标结合性不强，在项目自评时对该指标的评价打分不够客观；四是绩效监控考核与实际落实的结合力度不够。对于绩效目标的实现来说，过程管理的管理和监控是相当重要的，缺失了</w:t>
      </w:r>
      <w:r>
        <w:rPr>
          <w:rFonts w:hint="eastAsia" w:ascii="仿宋_GB2312" w:hAnsi="仿宋_GB2312" w:eastAsia="仿宋_GB2312" w:cs="仿宋_GB2312"/>
          <w:b w:val="0"/>
          <w:color w:val="auto"/>
          <w:sz w:val="32"/>
          <w:szCs w:val="32"/>
          <w:highlight w:val="none"/>
        </w:rPr>
        <w:t>过程的控制，只是在绩效周期结束的时候，才关注绩效进行打分，错过了执行过程中的改进机会，</w:t>
      </w:r>
      <w:r>
        <w:rPr>
          <w:rFonts w:hint="eastAsia" w:ascii="仿宋_GB2312" w:hAnsi="仿宋_GB2312" w:eastAsia="仿宋_GB2312" w:cs="仿宋_GB2312"/>
          <w:b w:val="0"/>
          <w:bCs w:val="0"/>
          <w:color w:val="auto"/>
          <w:kern w:val="0"/>
          <w:sz w:val="32"/>
          <w:szCs w:val="32"/>
          <w:highlight w:val="none"/>
          <w:lang w:eastAsia="zh-CN"/>
        </w:rPr>
        <w:t>在问题出现时再补救就失去了绩效监控考核的意义。下一步改进措施：一是重视政策理论学习。加强学习绩效的相关政策文件，进一步提高科学测算项目绩效目标的能力，科学设置绩效目标。加强对各预算单位提交的有关绩效目标表及年度报告的审核，对不规范、不准确、不合理的及时退回；二是提高管理水平。加强对预算单位、项目承担单位的业务指导与培训，帮助各预算单位、项目承担单位提高业务能力，提高设置绩效目标，完成绩效自评报告；</w:t>
      </w:r>
      <w:r>
        <w:rPr>
          <w:rFonts w:hint="eastAsia" w:ascii="仿宋_GB2312" w:hAnsi="仿宋_GB2312" w:eastAsia="仿宋_GB2312" w:cs="仿宋_GB2312"/>
          <w:b w:val="0"/>
          <w:bCs w:val="0"/>
          <w:color w:val="auto"/>
          <w:kern w:val="0"/>
          <w:sz w:val="32"/>
          <w:szCs w:val="32"/>
          <w:highlight w:val="none"/>
          <w:lang w:val="en-US" w:eastAsia="zh-CN"/>
        </w:rPr>
        <w:t>三是建立各类评价体系。制定绩效管理工作的规章制度</w:t>
      </w:r>
      <w:r>
        <w:rPr>
          <w:rFonts w:hint="eastAsia" w:ascii="仿宋_GB2312" w:hAnsi="仿宋_GB2312" w:eastAsia="仿宋_GB2312" w:cs="仿宋_GB2312"/>
          <w:b w:val="0"/>
          <w:bCs w:val="0"/>
          <w:color w:val="auto"/>
          <w:kern w:val="0"/>
          <w:sz w:val="32"/>
          <w:szCs w:val="32"/>
          <w:highlight w:val="none"/>
          <w:lang w:eastAsia="zh-CN"/>
        </w:rPr>
        <w:t>，为提高绩效管理水平提供制度保障，实现绩效管理工作中每一个程序、每一个环节科学化、规范化、合理化。</w:t>
      </w:r>
      <w:r>
        <w:rPr>
          <w:rFonts w:hint="eastAsia" w:ascii="仿宋_GB2312" w:hAnsi="仿宋_GB2312" w:eastAsia="仿宋_GB2312" w:cs="仿宋_GB2312"/>
          <w:b w:val="0"/>
          <w:bCs w:val="0"/>
          <w:color w:val="auto"/>
          <w:kern w:val="0"/>
          <w:sz w:val="32"/>
          <w:szCs w:val="32"/>
          <w:highlight w:val="none"/>
          <w:lang w:val="en-US" w:eastAsia="zh-CN"/>
        </w:rPr>
        <w:t>研究制定</w:t>
      </w:r>
      <w:r>
        <w:rPr>
          <w:rFonts w:hint="eastAsia" w:ascii="仿宋_GB2312" w:hAnsi="仿宋_GB2312" w:eastAsia="仿宋_GB2312" w:cs="仿宋_GB2312"/>
          <w:b w:val="0"/>
          <w:bCs w:val="0"/>
          <w:color w:val="auto"/>
          <w:kern w:val="0"/>
          <w:sz w:val="32"/>
          <w:szCs w:val="32"/>
          <w:highlight w:val="none"/>
          <w:lang w:val="en" w:eastAsia="zh-CN"/>
        </w:rPr>
        <w:t>各类项目计划绩效评价管理办法，完善</w:t>
      </w:r>
      <w:r>
        <w:rPr>
          <w:rFonts w:hint="eastAsia" w:ascii="仿宋_GB2312" w:hAnsi="仿宋_GB2312" w:eastAsia="仿宋_GB2312" w:cs="仿宋_GB2312"/>
          <w:b w:val="0"/>
          <w:bCs w:val="0"/>
          <w:color w:val="auto"/>
          <w:kern w:val="0"/>
          <w:sz w:val="32"/>
          <w:szCs w:val="32"/>
          <w:highlight w:val="none"/>
          <w:lang w:val="en-US" w:eastAsia="zh-CN"/>
        </w:rPr>
        <w:t>绩效工作全流程闭环管理机制，在项目立项时按照分类评价要求提出项目绩效目标；</w:t>
      </w:r>
      <w:r>
        <w:rPr>
          <w:rFonts w:hint="eastAsia" w:ascii="仿宋_GB2312" w:hAnsi="仿宋_GB2312" w:eastAsia="仿宋_GB2312" w:cs="仿宋_GB2312"/>
          <w:b w:val="0"/>
          <w:bCs w:val="0"/>
          <w:color w:val="auto"/>
          <w:kern w:val="0"/>
          <w:sz w:val="32"/>
          <w:szCs w:val="32"/>
          <w:highlight w:val="none"/>
          <w:lang w:eastAsia="zh-CN"/>
        </w:rPr>
        <w:t>四是</w:t>
      </w:r>
      <w:r>
        <w:rPr>
          <w:rFonts w:hint="eastAsia" w:ascii="仿宋_GB2312" w:hAnsi="仿宋_GB2312" w:eastAsia="仿宋_GB2312" w:cs="仿宋_GB2312"/>
          <w:b w:val="0"/>
          <w:bCs w:val="0"/>
          <w:color w:val="auto"/>
          <w:kern w:val="0"/>
          <w:sz w:val="32"/>
          <w:szCs w:val="32"/>
          <w:highlight w:val="none"/>
          <w:lang w:val="en-US" w:eastAsia="zh-CN"/>
        </w:rPr>
        <w:t>落实评价公开制度。认真对照年初制定的绩效目标，强化责任落实，逐项评价项目实施效果，综合衡量预算资金产出效益，加强对绩效</w:t>
      </w:r>
      <w:r>
        <w:rPr>
          <w:rFonts w:hint="eastAsia" w:ascii="仿宋_GB2312" w:hAnsi="仿宋_GB2312" w:eastAsia="仿宋_GB2312" w:cs="仿宋_GB2312"/>
          <w:b w:val="0"/>
          <w:bCs w:val="0"/>
          <w:color w:val="auto"/>
          <w:sz w:val="32"/>
          <w:szCs w:val="32"/>
          <w:highlight w:val="none"/>
          <w:lang w:val="en-US" w:eastAsia="zh-CN"/>
        </w:rPr>
        <w:t>评价结果运用，形成财政资金评价报告，作为下年度项目资金申请的重要依据</w:t>
      </w:r>
      <w:r>
        <w:rPr>
          <w:rFonts w:hint="eastAsia" w:ascii="仿宋_GB2312" w:hAnsi="仿宋_GB2312" w:eastAsia="仿宋_GB2312" w:cs="仿宋_GB2312"/>
          <w:b w:val="0"/>
          <w:color w:val="auto"/>
          <w:sz w:val="32"/>
          <w:szCs w:val="32"/>
          <w:highlight w:val="none"/>
        </w:rPr>
        <w:t>。具体附项目支出绩效自评表及项目支出绩效评价报告。</w:t>
      </w:r>
    </w:p>
    <w:p w14:paraId="54F0616C">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十二、其他需说明的事项</w:t>
      </w:r>
    </w:p>
    <w:p w14:paraId="26F4CBD4">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hint="default"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lang w:val="en-US" w:eastAsia="zh-CN"/>
        </w:rPr>
        <w:t>年度本单位政府采购支出总额为</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万元，授予中小企业合同金额、授予小微企业合同金额</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w:t>
      </w:r>
    </w:p>
    <w:p w14:paraId="780AADA2">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p>
    <w:p w14:paraId="308E1B35">
      <w:pPr>
        <w:widowControl/>
        <w:rPr>
          <w:color w:val="auto"/>
          <w:highlight w:val="none"/>
        </w:rPr>
      </w:pPr>
      <w:r>
        <w:rPr>
          <w:b w:val="0"/>
          <w:color w:val="auto"/>
          <w:sz w:val="0"/>
          <w:szCs w:val="0"/>
          <w:highlight w:val="none"/>
        </w:rPr>
        <w:br w:type="page"/>
      </w:r>
    </w:p>
    <w:p w14:paraId="319BD7CF">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第三部分 专业名词解释</w:t>
      </w:r>
    </w:p>
    <w:p w14:paraId="318DD8A3">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一、财政拨款收入：</w:t>
      </w:r>
      <w:r>
        <w:rPr>
          <w:rFonts w:ascii="仿宋_GB2312" w:eastAsia="仿宋_GB2312"/>
          <w:b w:val="0"/>
          <w:color w:val="auto"/>
          <w:sz w:val="32"/>
          <w:szCs w:val="32"/>
          <w:highlight w:val="none"/>
        </w:rPr>
        <w:t>指单位本年度从同级财政部门取得的财政拨款，包括一般公共预算财政拨款、政府性基金预算财政拨款和国有资本经营预算财政拨款。</w:t>
      </w:r>
    </w:p>
    <w:p w14:paraId="7372035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二、上级补助收入：</w:t>
      </w:r>
      <w:r>
        <w:rPr>
          <w:rFonts w:ascii="仿宋_GB2312" w:eastAsia="仿宋_GB2312"/>
          <w:b w:val="0"/>
          <w:color w:val="auto"/>
          <w:sz w:val="32"/>
          <w:szCs w:val="32"/>
          <w:highlight w:val="none"/>
        </w:rPr>
        <w:t>指事业单位从主管部门和上级单位取得的非财政补助收入。</w:t>
      </w:r>
    </w:p>
    <w:p w14:paraId="65493A94">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三、事业收入：</w:t>
      </w:r>
      <w:r>
        <w:rPr>
          <w:rFonts w:ascii="仿宋_GB2312" w:eastAsia="仿宋_GB2312"/>
          <w:b w:val="0"/>
          <w:color w:val="auto"/>
          <w:sz w:val="32"/>
          <w:szCs w:val="32"/>
          <w:highlight w:val="none"/>
        </w:rPr>
        <w:t>指事业单位开展专业业务活动及其辅助活动取得的收入。</w:t>
      </w:r>
    </w:p>
    <w:p w14:paraId="7BFC55D9">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四、经营收入：</w:t>
      </w:r>
      <w:r>
        <w:rPr>
          <w:rFonts w:ascii="仿宋_GB2312" w:eastAsia="仿宋_GB2312"/>
          <w:b w:val="0"/>
          <w:color w:val="auto"/>
          <w:sz w:val="32"/>
          <w:szCs w:val="32"/>
          <w:highlight w:val="none"/>
        </w:rPr>
        <w:t>指事业单位在专业业务活动及其辅助活动之外开展非独立核算经营活动取得的收入。</w:t>
      </w:r>
    </w:p>
    <w:p w14:paraId="3F8A3D8E">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五、附属单位上缴收入：</w:t>
      </w:r>
      <w:r>
        <w:rPr>
          <w:rFonts w:ascii="仿宋_GB2312" w:eastAsia="仿宋_GB2312"/>
          <w:b w:val="0"/>
          <w:color w:val="auto"/>
          <w:sz w:val="32"/>
          <w:szCs w:val="32"/>
          <w:highlight w:val="none"/>
        </w:rPr>
        <w:t>指事业单位附属独立核算单位按照有关规定上缴的收入。</w:t>
      </w:r>
    </w:p>
    <w:p w14:paraId="5BFE11F1">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六、其他收入：</w:t>
      </w:r>
      <w:r>
        <w:rPr>
          <w:rFonts w:ascii="仿宋_GB2312" w:eastAsia="仿宋_GB2312"/>
          <w:b w:val="0"/>
          <w:color w:val="auto"/>
          <w:sz w:val="32"/>
          <w:szCs w:val="32"/>
          <w:highlight w:val="none"/>
        </w:rPr>
        <w:t>指单位取得的除上述“财政拨款收入”“上级补助收入”“事业收入”“经营收入”“附属单位上缴收入”以外的各项收入。</w:t>
      </w:r>
    </w:p>
    <w:p w14:paraId="2BC52AD7">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七、年初结转和结余：</w:t>
      </w:r>
      <w:r>
        <w:rPr>
          <w:rFonts w:ascii="仿宋_GB2312" w:eastAsia="仿宋_GB2312"/>
          <w:b w:val="0"/>
          <w:color w:val="auto"/>
          <w:sz w:val="32"/>
          <w:szCs w:val="32"/>
          <w:highlight w:val="none"/>
        </w:rPr>
        <w:t>指单位上年结转本年使用的基本支出结转、项目支出结转和结余、经营结余。</w:t>
      </w:r>
    </w:p>
    <w:p w14:paraId="03E8BE7F">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八、使用非财政拨款结余（含专用结余）：</w:t>
      </w:r>
      <w:r>
        <w:rPr>
          <w:rFonts w:ascii="仿宋_GB2312" w:eastAsia="仿宋_GB2312"/>
          <w:b w:val="0"/>
          <w:color w:val="auto"/>
          <w:sz w:val="32"/>
          <w:szCs w:val="32"/>
          <w:highlight w:val="none"/>
        </w:rPr>
        <w:t>指单位按照预算管理要求使用非财政拨款结余弥补收支差额的金额，以及使用专用结余安排支出的金额。</w:t>
      </w:r>
    </w:p>
    <w:p w14:paraId="7E669F15">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九、结余分配</w:t>
      </w:r>
      <w:r>
        <w:rPr>
          <w:rFonts w:ascii="仿宋_GB2312" w:eastAsia="仿宋_GB2312"/>
          <w:b w:val="0"/>
          <w:color w:val="auto"/>
          <w:sz w:val="32"/>
          <w:szCs w:val="32"/>
          <w:highlight w:val="none"/>
        </w:rPr>
        <w:t>：指单位缴纳企业所得税以及从非财政拨款结余或经营结余中提取各类结余的情况。</w:t>
      </w:r>
    </w:p>
    <w:p w14:paraId="1AAF419E">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十、年末结转和结余</w:t>
      </w:r>
      <w:r>
        <w:rPr>
          <w:rFonts w:ascii="仿宋_GB2312" w:eastAsia="仿宋_GB2312"/>
          <w:b w:val="0"/>
          <w:color w:val="auto"/>
          <w:sz w:val="32"/>
          <w:szCs w:val="32"/>
          <w:highlight w:val="none"/>
        </w:rPr>
        <w:t>：指单位结转下年的基本支出结转、项目支出结转和结余、经营结余。</w:t>
      </w:r>
    </w:p>
    <w:p w14:paraId="70C089E6">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十一、基本支出</w:t>
      </w:r>
      <w:r>
        <w:rPr>
          <w:rFonts w:ascii="仿宋_GB2312" w:eastAsia="仿宋_GB2312"/>
          <w:b w:val="0"/>
          <w:color w:val="auto"/>
          <w:sz w:val="32"/>
          <w:szCs w:val="32"/>
          <w:highlight w:val="none"/>
        </w:rPr>
        <w:t>：指单位为保障机构正常运转、完成日常工作任务而发生的各项支出。</w:t>
      </w:r>
    </w:p>
    <w:p w14:paraId="4DDCE54B">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十二、项目支出：</w:t>
      </w:r>
      <w:r>
        <w:rPr>
          <w:rFonts w:ascii="仿宋_GB2312" w:eastAsia="仿宋_GB2312"/>
          <w:b w:val="0"/>
          <w:color w:val="auto"/>
          <w:sz w:val="32"/>
          <w:szCs w:val="32"/>
          <w:highlight w:val="none"/>
        </w:rPr>
        <w:t>指单位为完成特定的行政工作任务或事业发展目标，在基本支出之外发生的各项支出。</w:t>
      </w:r>
    </w:p>
    <w:p w14:paraId="0A2EA32C">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十三、上缴上级支出：</w:t>
      </w:r>
      <w:r>
        <w:rPr>
          <w:rFonts w:ascii="仿宋_GB2312" w:eastAsia="仿宋_GB2312"/>
          <w:b w:val="0"/>
          <w:color w:val="auto"/>
          <w:sz w:val="32"/>
          <w:szCs w:val="32"/>
          <w:highlight w:val="none"/>
        </w:rPr>
        <w:t>指事业单位按照财政部门和主管部门的规定上缴上级单位的支出。</w:t>
      </w:r>
    </w:p>
    <w:p w14:paraId="20A93C1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十四、经营支出：</w:t>
      </w:r>
      <w:r>
        <w:rPr>
          <w:rFonts w:ascii="仿宋_GB2312" w:eastAsia="仿宋_GB2312"/>
          <w:b w:val="0"/>
          <w:color w:val="auto"/>
          <w:sz w:val="32"/>
          <w:szCs w:val="32"/>
          <w:highlight w:val="none"/>
        </w:rPr>
        <w:t>指事业单位在专业活动及辅助活动之外开展非独立核算经营活动发生的支出。</w:t>
      </w:r>
    </w:p>
    <w:p w14:paraId="733A4AF7">
      <w:pPr>
        <w:widowControl/>
        <w:spacing w:before="0" w:beforeLines="0" w:beforeAutospacing="0" w:after="0" w:afterLines="0" w:afterAutospacing="0" w:line="240" w:lineRule="auto"/>
        <w:ind w:firstLine="643" w:firstLineChars="200"/>
        <w:jc w:val="left"/>
        <w:rPr>
          <w:rFonts w:ascii="宋体" w:eastAsia="仿宋_GB2312"/>
          <w:color w:val="auto"/>
          <w:sz w:val="32"/>
          <w:szCs w:val="32"/>
          <w:highlight w:val="none"/>
        </w:rPr>
      </w:pPr>
      <w:r>
        <w:rPr>
          <w:rFonts w:ascii="宋体" w:eastAsia="仿宋_GB2312"/>
          <w:b/>
          <w:color w:val="auto"/>
          <w:sz w:val="32"/>
          <w:szCs w:val="32"/>
          <w:highlight w:val="none"/>
        </w:rPr>
        <w:t>十五、对附属单位补助支出：</w:t>
      </w:r>
      <w:r>
        <w:rPr>
          <w:rFonts w:ascii="宋体" w:eastAsia="仿宋_GB2312"/>
          <w:b w:val="0"/>
          <w:color w:val="auto"/>
          <w:sz w:val="32"/>
          <w:szCs w:val="32"/>
          <w:highlight w:val="none"/>
        </w:rPr>
        <w:t>指事业单位用财政补助收入之外的收入对附属单位补助发生的支出。</w:t>
      </w:r>
    </w:p>
    <w:p w14:paraId="6525FF09">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十六、“三公”经费：</w:t>
      </w:r>
      <w:r>
        <w:rPr>
          <w:rFonts w:ascii="仿宋_GB2312" w:eastAsia="仿宋_GB2312"/>
          <w:b w:val="0"/>
          <w:color w:val="auto"/>
          <w:sz w:val="32"/>
          <w:szCs w:val="32"/>
          <w:highlight w:val="none"/>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D7E98AF">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十七、机关运行经费：</w:t>
      </w:r>
      <w:r>
        <w:rPr>
          <w:rFonts w:ascii="仿宋_GB2312" w:eastAsia="仿宋_GB2312"/>
          <w:b w:val="0"/>
          <w:color w:val="auto"/>
          <w:sz w:val="32"/>
          <w:szCs w:val="32"/>
          <w:highlight w:val="none"/>
        </w:rPr>
        <w:t>指行政单位和参照公务员法管理的事业单位财政拨款基本支出中的公用经费支出。</w:t>
      </w:r>
    </w:p>
    <w:p w14:paraId="6F3FF3B4">
      <w:pPr>
        <w:widowControl/>
        <w:rPr>
          <w:color w:val="auto"/>
          <w:highlight w:val="none"/>
        </w:rPr>
      </w:pPr>
      <w:r>
        <w:rPr>
          <w:b w:val="0"/>
          <w:color w:val="auto"/>
          <w:sz w:val="0"/>
          <w:szCs w:val="0"/>
          <w:highlight w:val="none"/>
        </w:rPr>
        <w:br w:type="page"/>
      </w:r>
    </w:p>
    <w:p w14:paraId="6C5B8012">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第四部分 部门决算报表（见附表）</w:t>
      </w:r>
    </w:p>
    <w:p w14:paraId="5F184C0E">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14:paraId="302C6035">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14:paraId="6D059253">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14:paraId="678909E7">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14:paraId="3820436F">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14:paraId="4D66A945">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14:paraId="0DBA0738">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14:paraId="1771E221">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八、《国有资本经营预算财政拨款收入支出决算表》</w:t>
      </w:r>
    </w:p>
    <w:p w14:paraId="551A51F8">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1006321"/>
    <w:rsid w:val="03984074"/>
    <w:rsid w:val="088E5CA1"/>
    <w:rsid w:val="15C251DC"/>
    <w:rsid w:val="1AF9072D"/>
    <w:rsid w:val="1C054F5A"/>
    <w:rsid w:val="1C3E350F"/>
    <w:rsid w:val="261D2E8B"/>
    <w:rsid w:val="2BDA4281"/>
    <w:rsid w:val="31F2254D"/>
    <w:rsid w:val="332826CA"/>
    <w:rsid w:val="3D3103CE"/>
    <w:rsid w:val="3D473BBB"/>
    <w:rsid w:val="455B68BA"/>
    <w:rsid w:val="4D1516EA"/>
    <w:rsid w:val="4EF64FAB"/>
    <w:rsid w:val="518F21D8"/>
    <w:rsid w:val="5633587D"/>
    <w:rsid w:val="57801271"/>
    <w:rsid w:val="58CD4FF7"/>
    <w:rsid w:val="5EEA34C3"/>
    <w:rsid w:val="624A590A"/>
    <w:rsid w:val="638144D0"/>
    <w:rsid w:val="6B481258"/>
    <w:rsid w:val="6C663340"/>
    <w:rsid w:val="7D4451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59e706c2-68a0-4f1d-8f92-a16bf3f65846</errorID>
      <errorWord>中央</errorWord>
      <group>L1_Sensitive</group>
      <groupName>敏感问题</groupName>
      <ability>L2_UserSensitive</ability>
      <abilityName>自定义敏感词</abilityName>
      <candidateList/>
      <explain>来自自定义敏感词库。</explain>
      <paraID>7CB29189</paraID>
      <start>3</start>
      <end>5</end>
      <status>unmodified</status>
      <modifiedWord/>
      <trackRevisions>false</trackRevisions>
    </reviewItem>
    <reviewItem>
      <errorID>6c257692-d152-413c-8c9f-a3dd86ab2bac</errorID>
      <errorWord>中央</errorWord>
      <group>L1_Sensitive</group>
      <groupName>敏感问题</groupName>
      <ability>L2_UserSensitive</ability>
      <abilityName>自定义敏感词</abilityName>
      <candidateList/>
      <explain>来自自定义敏感词库。</explain>
      <paraID>4AEFAF1C</paraID>
      <start>85</start>
      <end>87</end>
      <status>unmodified</status>
      <modifiedWord/>
      <trackRevisions>false</trackRevisions>
    </reviewItem>
    <reviewItem>
      <errorID>cc2c3325-c754-4257-a2dc-6775eb1e6976</errorID>
      <errorWord>我单位</errorWord>
      <group>L1_Other</group>
      <groupName>其他问题</groupName>
      <ability>L2_UserTypo</ability>
      <abilityName>自定义错误</abilityName>
      <candidateList>
        <item>本单位</item>
      </candidateList>
      <explain>来自自定义错词库。</explain>
      <paraID>476A3DEF</paraID>
      <start>112</start>
      <end>115</end>
      <status>unmodified</status>
      <modifiedWord/>
      <trackRevisions>false</trackRevisions>
    </reviewItem>
    <reviewItem>
      <errorID>2e29ae9c-8e6c-44c7-bf63-821e477bd6f7</errorID>
      <errorWord>我单位</errorWord>
      <group>L1_Other</group>
      <groupName>其他问题</groupName>
      <ability>L2_UserTypo</ability>
      <abilityName>自定义错误</abilityName>
      <candidateList>
        <item>本单位</item>
      </candidateList>
      <explain>来自自定义错词库。</explain>
      <paraID>476A3DEF</paraID>
      <start>186</start>
      <end>189</end>
      <status>unmodified</status>
      <modifiedWord/>
      <trackRevisions>false</trackRevisions>
    </reviewItem>
    <reviewItem>
      <errorID>5dc0251d-670f-4a42-87c9-0afefbc38080</errorID>
      <errorWord>我单位</errorWord>
      <group>L1_Other</group>
      <groupName>其他问题</groupName>
      <ability>L2_UserTypo</ability>
      <abilityName>自定义错误</abilityName>
      <candidateList>
        <item>本单位</item>
      </candidateList>
      <explain>来自自定义错词库。</explain>
      <paraID>476A3DEF</paraID>
      <start>256</start>
      <end>259</end>
      <status>unmodified</status>
      <modifiedWord/>
      <trackRevisions>false</trackRevisions>
    </reviewItem>
    <reviewItem>
      <errorID>27bdedcd-a9f0-4b4b-823f-80631a03dc05</errorID>
      <errorWord>我单位</errorWord>
      <group>L1_Other</group>
      <groupName>其他问题</groupName>
      <ability>L2_UserTypo</ability>
      <abilityName>自定义错误</abilityName>
      <candidateList>
        <item>本单位</item>
      </candidateList>
      <explain>来自自定义错词库。</explain>
      <paraID> F6398A3</paraID>
      <start>60</start>
      <end>63</end>
      <status>unmodified</status>
      <modifiedWord/>
      <trackRevisions>false</trackRevisions>
    </reviewItem>
    <reviewItem>
      <errorID>e9aaad9e-c34b-4e36-a193-3364e54bd169</errorID>
      <errorWord>我单位</errorWord>
      <group>L1_Other</group>
      <groupName>其他问题</groupName>
      <ability>L2_UserTypo</ability>
      <abilityName>自定义错误</abilityName>
      <candidateList>
        <item>本单位</item>
      </candidateList>
      <explain>来自自定义错词库。</explain>
      <paraID> F6398A3</paraID>
      <start>129</start>
      <end>132</end>
      <status>unmodified</status>
      <modifiedWord/>
      <trackRevisions>false</trackRevisions>
    </reviewItem>
    <reviewItem>
      <errorID>b16b5c26-b385-4f28-9ff3-c1eded665b43</errorID>
      <errorWord>我单位</errorWord>
      <group>L1_Other</group>
      <groupName>其他问题</groupName>
      <ability>L2_UserTypo</ability>
      <abilityName>自定义错误</abilityName>
      <candidateList>
        <item>本单位</item>
      </candidateList>
      <explain>来自自定义错词库。</explain>
      <paraID> F6398A3</paraID>
      <start>189</start>
      <end>192</end>
      <status>unmodified</status>
      <modifiedWord/>
      <trackRevisions>false</trackRevisions>
    </reviewItem>
    <reviewItem>
      <errorID>83db4d5c-4976-45f3-9bf7-eb023b4c12f8</errorID>
      <errorWord>我单位</errorWord>
      <group>L1_Other</group>
      <groupName>其他问题</groupName>
      <ability>L2_UserTypo</ability>
      <abilityName>自定义错误</abilityName>
      <candidateList>
        <item>本单位</item>
      </candidateList>
      <explain>来自自定义错词库。</explain>
      <paraID> F6398A3</paraID>
      <start>250</start>
      <end>253</end>
      <status>unmodified</status>
      <modifiedWord/>
      <trackRevisions>false</trackRevisions>
    </reviewItem>
    <reviewItem>
      <errorID>307f1ca2-c441-4098-9f75-664268949bff</errorID>
      <errorWord>我单位</errorWord>
      <group>L1_Other</group>
      <groupName>其他问题</groupName>
      <ability>L2_UserTypo</ability>
      <abilityName>自定义错误</abilityName>
      <candidateList>
        <item>本单位</item>
      </candidateList>
      <explain>来自自定义错词库。</explain>
      <paraID> F6398A3</paraID>
      <start>309</start>
      <end>312</end>
      <status>unmodified</status>
      <modifiedWord/>
      <trackRevisions>false</trackRevisions>
    </reviewItem>
    <reviewItem>
      <errorID>07c6c321-b5d0-4bed-8348-1b04b8560349</errorID>
      <errorWord>我单位</errorWord>
      <group>L1_Other</group>
      <groupName>其他问题</groupName>
      <ability>L2_UserTypo</ability>
      <abilityName>自定义错误</abilityName>
      <candidateList>
        <item>本单位</item>
      </candidateList>
      <explain>来自自定义错词库。</explain>
      <paraID>78DC8A06</paraID>
      <start>141</start>
      <end>144</end>
      <status>unmodified</status>
      <modifiedWord/>
      <trackRevisions>false</trackRevisions>
    </reviewItem>
  </reviewItems>
  <config/>
</contractReview>
</file>

<file path=customXml/itemProps1.xml><?xml version="1.0" encoding="utf-8"?>
<ds:datastoreItem xmlns:ds="http://schemas.openxmlformats.org/officeDocument/2006/customXml" ds:itemID="{94bfd41f-9f65-48f9-bb3a-3f800d6b7f0e}">
  <ds:schemaRefs/>
</ds:datastoreItem>
</file>

<file path=docProps/app.xml><?xml version="1.0" encoding="utf-8"?>
<Properties xmlns="http://schemas.openxmlformats.org/officeDocument/2006/extended-properties" xmlns:vt="http://schemas.openxmlformats.org/officeDocument/2006/docPropsVTypes">
  <Pages>16</Pages>
  <Words>7292</Words>
  <Characters>8190</Characters>
  <TotalTime>37</TotalTime>
  <ScaleCrop>false</ScaleCrop>
  <LinksUpToDate>false</LinksUpToDate>
  <CharactersWithSpaces>8197</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2026-08-17T10:42:00Z</dcterms:created>
  <dc:creator>Administrator</dc:creator>
  <cp:lastModifiedBy>雨。</cp:lastModifiedBy>
  <dcterms:modified xsi:type="dcterms:W3CDTF">2026-09-01T07:46:32Z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C6C043E40A9F401BBBAFE778D5818051</vt:lpwstr>
  </property>
  <property fmtid="{D5CDD505-2E9C-101B-9397-08002B2CF9AE}" pid="4" name="KSOTemplateDocerSaveRecord">
    <vt:lpwstr>eyJoZGlkIjoiYjllZTFkNzZjMTJjZjZkZjhmYWQyZGNlNGE1MTg2N2QiLCJ1c2VySWQiOiIyNTk4NTcxMjUifQ==</vt:lpwstr>
  </property>
</Properties>
</file>