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35625">
      <w:pPr>
        <w:spacing w:after="0" w:line="240" w:lineRule="auto"/>
        <w:rPr>
          <w:rFonts w:ascii="宋体" w:eastAsia="宋体"/>
          <w:sz w:val="32"/>
          <w:szCs w:val="32"/>
        </w:rPr>
      </w:pPr>
    </w:p>
    <w:p w14:paraId="0249F657">
      <w:pPr>
        <w:spacing w:after="0" w:line="240" w:lineRule="auto"/>
        <w:rPr>
          <w:rFonts w:ascii="宋体" w:eastAsia="宋体"/>
          <w:sz w:val="44"/>
          <w:szCs w:val="44"/>
        </w:rPr>
      </w:pPr>
    </w:p>
    <w:p w14:paraId="4FF942D3">
      <w:pPr>
        <w:spacing w:after="0" w:line="240" w:lineRule="auto"/>
        <w:rPr>
          <w:rFonts w:ascii="宋体" w:eastAsia="宋体"/>
          <w:sz w:val="44"/>
          <w:szCs w:val="44"/>
        </w:rPr>
      </w:pPr>
    </w:p>
    <w:p w14:paraId="399989DD">
      <w:pPr>
        <w:spacing w:after="0" w:line="240" w:lineRule="auto"/>
        <w:rPr>
          <w:rFonts w:ascii="宋体" w:eastAsia="宋体"/>
          <w:sz w:val="44"/>
          <w:szCs w:val="44"/>
        </w:rPr>
      </w:pPr>
    </w:p>
    <w:p w14:paraId="1D07F9F6">
      <w:pPr>
        <w:spacing w:after="0" w:line="240" w:lineRule="auto"/>
        <w:jc w:val="center"/>
        <w:outlineLvl w:val="0"/>
        <w:rPr>
          <w:rFonts w:ascii="宋体" w:eastAsia="黑体"/>
          <w:sz w:val="44"/>
          <w:szCs w:val="44"/>
        </w:rPr>
      </w:pPr>
      <w:r>
        <w:rPr>
          <w:rFonts w:ascii="宋体" w:eastAsia="黑体"/>
          <w:sz w:val="44"/>
          <w:szCs w:val="44"/>
        </w:rPr>
        <w:t>新疆维吾尔自治区煤炭科学研究所</w:t>
      </w:r>
    </w:p>
    <w:p w14:paraId="579E5237">
      <w:pPr>
        <w:spacing w:after="0" w:line="240" w:lineRule="auto"/>
        <w:jc w:val="center"/>
        <w:outlineLvl w:val="0"/>
        <w:rPr>
          <w:rFonts w:ascii="黑体" w:eastAsia="黑体"/>
          <w:sz w:val="44"/>
          <w:szCs w:val="44"/>
        </w:rPr>
      </w:pPr>
      <w:r>
        <w:rPr>
          <w:rFonts w:ascii="黑体" w:eastAsia="黑体"/>
          <w:sz w:val="44"/>
          <w:szCs w:val="44"/>
        </w:rPr>
        <w:t>2025年度部门决算公开说明</w:t>
      </w:r>
    </w:p>
    <w:p w14:paraId="4F621324">
      <w:r>
        <w:rPr>
          <w:sz w:val="0"/>
          <w:szCs w:val="0"/>
        </w:rPr>
        <w:br w:type="page"/>
      </w:r>
    </w:p>
    <w:p w14:paraId="7CBDC520">
      <w:pPr>
        <w:spacing w:after="0" w:line="240" w:lineRule="auto"/>
        <w:jc w:val="center"/>
        <w:rPr>
          <w:rFonts w:ascii="黑体" w:eastAsia="黑体"/>
          <w:sz w:val="32"/>
          <w:szCs w:val="32"/>
        </w:rPr>
      </w:pPr>
      <w:r>
        <w:rPr>
          <w:rFonts w:ascii="黑体" w:eastAsia="黑体"/>
          <w:b/>
          <w:sz w:val="32"/>
          <w:szCs w:val="32"/>
        </w:rPr>
        <w:t>目 录</w:t>
      </w:r>
    </w:p>
    <w:p w14:paraId="002212F9">
      <w:pPr>
        <w:spacing w:after="0" w:line="240" w:lineRule="auto"/>
        <w:rPr>
          <w:rFonts w:ascii="仿宋_GB2312" w:eastAsia="仿宋_GB2312"/>
          <w:sz w:val="32"/>
          <w:szCs w:val="32"/>
        </w:rPr>
      </w:pPr>
      <w:r>
        <w:rPr>
          <w:rFonts w:ascii="仿宋_GB2312" w:eastAsia="仿宋_GB2312"/>
          <w:b/>
          <w:sz w:val="32"/>
          <w:szCs w:val="32"/>
        </w:rPr>
        <w:t>第一部分单位概况</w:t>
      </w:r>
    </w:p>
    <w:p w14:paraId="67C21C98">
      <w:pPr>
        <w:spacing w:after="0" w:line="240" w:lineRule="auto"/>
        <w:rPr>
          <w:rFonts w:ascii="仿宋_GB2312" w:eastAsia="仿宋_GB2312"/>
          <w:sz w:val="32"/>
          <w:szCs w:val="32"/>
        </w:rPr>
      </w:pPr>
      <w:r>
        <w:rPr>
          <w:rFonts w:ascii="仿宋_GB2312" w:eastAsia="仿宋_GB2312"/>
          <w:sz w:val="32"/>
          <w:szCs w:val="32"/>
        </w:rPr>
        <w:t>一、主要职能</w:t>
      </w:r>
    </w:p>
    <w:p w14:paraId="6AB03D07">
      <w:pPr>
        <w:spacing w:after="0" w:line="240" w:lineRule="auto"/>
        <w:rPr>
          <w:rFonts w:ascii="仿宋_GB2312" w:eastAsia="仿宋_GB2312"/>
          <w:sz w:val="32"/>
          <w:szCs w:val="32"/>
        </w:rPr>
      </w:pPr>
      <w:r>
        <w:rPr>
          <w:rFonts w:ascii="仿宋_GB2312" w:eastAsia="仿宋_GB2312"/>
          <w:sz w:val="32"/>
          <w:szCs w:val="32"/>
        </w:rPr>
        <w:t>二、机构设置</w:t>
      </w:r>
    </w:p>
    <w:p w14:paraId="489D488F">
      <w:pPr>
        <w:spacing w:after="0" w:line="240" w:lineRule="auto"/>
        <w:rPr>
          <w:rFonts w:ascii="仿宋_GB2312" w:eastAsia="仿宋_GB2312"/>
          <w:sz w:val="32"/>
          <w:szCs w:val="32"/>
        </w:rPr>
      </w:pPr>
      <w:r>
        <w:rPr>
          <w:rFonts w:ascii="仿宋_GB2312" w:eastAsia="仿宋_GB2312"/>
          <w:b/>
          <w:sz w:val="32"/>
          <w:szCs w:val="32"/>
        </w:rPr>
        <w:t>第二部分 部门决算情况说明</w:t>
      </w:r>
    </w:p>
    <w:p w14:paraId="72C1025E">
      <w:pPr>
        <w:spacing w:after="0" w:line="240" w:lineRule="auto"/>
        <w:rPr>
          <w:rFonts w:ascii="仿宋_GB2312" w:eastAsia="仿宋_GB2312"/>
          <w:sz w:val="32"/>
          <w:szCs w:val="32"/>
        </w:rPr>
      </w:pPr>
      <w:r>
        <w:rPr>
          <w:rFonts w:ascii="仿宋_GB2312" w:eastAsia="仿宋_GB2312"/>
          <w:sz w:val="32"/>
          <w:szCs w:val="32"/>
        </w:rPr>
        <w:t>一、收入支出决算总体情况说明</w:t>
      </w:r>
    </w:p>
    <w:p w14:paraId="2EFE9C92">
      <w:pPr>
        <w:spacing w:after="0" w:line="240" w:lineRule="auto"/>
        <w:rPr>
          <w:rFonts w:ascii="仿宋_GB2312" w:eastAsia="仿宋_GB2312"/>
          <w:sz w:val="32"/>
          <w:szCs w:val="32"/>
        </w:rPr>
      </w:pPr>
      <w:r>
        <w:rPr>
          <w:rFonts w:ascii="仿宋_GB2312" w:eastAsia="仿宋_GB2312"/>
          <w:sz w:val="32"/>
          <w:szCs w:val="32"/>
        </w:rPr>
        <w:t>二、收入决算情况说明</w:t>
      </w:r>
    </w:p>
    <w:p w14:paraId="4573978C">
      <w:pPr>
        <w:spacing w:after="0" w:line="240" w:lineRule="auto"/>
        <w:rPr>
          <w:rFonts w:ascii="仿宋_GB2312" w:eastAsia="仿宋_GB2312"/>
          <w:sz w:val="32"/>
          <w:szCs w:val="32"/>
        </w:rPr>
      </w:pPr>
      <w:r>
        <w:rPr>
          <w:rFonts w:ascii="仿宋_GB2312" w:eastAsia="仿宋_GB2312"/>
          <w:sz w:val="32"/>
          <w:szCs w:val="32"/>
        </w:rPr>
        <w:t>三、支出决算情况说明</w:t>
      </w:r>
    </w:p>
    <w:p w14:paraId="72898D15">
      <w:pPr>
        <w:spacing w:after="0" w:line="240" w:lineRule="auto"/>
        <w:rPr>
          <w:rFonts w:ascii="仿宋_GB2312" w:eastAsia="仿宋_GB2312"/>
          <w:sz w:val="32"/>
          <w:szCs w:val="32"/>
        </w:rPr>
      </w:pPr>
      <w:r>
        <w:rPr>
          <w:rFonts w:ascii="仿宋_GB2312" w:eastAsia="仿宋_GB2312"/>
          <w:sz w:val="32"/>
          <w:szCs w:val="32"/>
        </w:rPr>
        <w:t>四、财政拨款收入支出决算总体情况说明</w:t>
      </w:r>
    </w:p>
    <w:p w14:paraId="1054B1FE">
      <w:pPr>
        <w:spacing w:after="0" w:line="240" w:lineRule="auto"/>
        <w:rPr>
          <w:rFonts w:ascii="仿宋_GB2312" w:eastAsia="仿宋_GB2312"/>
          <w:sz w:val="32"/>
          <w:szCs w:val="32"/>
        </w:rPr>
      </w:pPr>
      <w:r>
        <w:rPr>
          <w:rFonts w:ascii="仿宋_GB2312" w:eastAsia="仿宋_GB2312"/>
          <w:sz w:val="32"/>
          <w:szCs w:val="32"/>
        </w:rPr>
        <w:t>五、一般公共预算财政拨款支出决算情况说明</w:t>
      </w:r>
    </w:p>
    <w:p w14:paraId="25E45494">
      <w:pPr>
        <w:spacing w:after="0" w:line="240" w:lineRule="auto"/>
        <w:rPr>
          <w:rFonts w:ascii="仿宋_GB2312" w:eastAsia="仿宋_GB2312"/>
          <w:sz w:val="32"/>
          <w:szCs w:val="32"/>
        </w:rPr>
      </w:pPr>
      <w:r>
        <w:rPr>
          <w:rFonts w:ascii="仿宋_GB2312" w:eastAsia="仿宋_GB2312"/>
          <w:sz w:val="32"/>
          <w:szCs w:val="32"/>
        </w:rPr>
        <w:t>（一）一般公共预算财政拨款支出决算总体情况</w:t>
      </w:r>
    </w:p>
    <w:p w14:paraId="14538E6E">
      <w:pPr>
        <w:spacing w:after="0" w:line="240" w:lineRule="auto"/>
        <w:rPr>
          <w:rFonts w:ascii="仿宋_GB2312" w:eastAsia="仿宋_GB2312"/>
          <w:sz w:val="32"/>
          <w:szCs w:val="32"/>
        </w:rPr>
      </w:pPr>
      <w:r>
        <w:rPr>
          <w:rFonts w:ascii="仿宋_GB2312" w:eastAsia="仿宋_GB2312"/>
          <w:sz w:val="32"/>
          <w:szCs w:val="32"/>
        </w:rPr>
        <w:t>（二）一般公共预算财政拨款支出决算结构情况</w:t>
      </w:r>
    </w:p>
    <w:p w14:paraId="4B04F728">
      <w:pPr>
        <w:spacing w:after="0" w:line="240" w:lineRule="auto"/>
        <w:rPr>
          <w:rFonts w:ascii="仿宋_GB2312" w:eastAsia="仿宋_GB2312"/>
          <w:sz w:val="32"/>
          <w:szCs w:val="32"/>
        </w:rPr>
      </w:pPr>
      <w:r>
        <w:rPr>
          <w:rFonts w:ascii="仿宋_GB2312" w:eastAsia="仿宋_GB2312"/>
          <w:sz w:val="32"/>
          <w:szCs w:val="32"/>
        </w:rPr>
        <w:t>（三）一般公共预算财政拨款支出决算具体情况</w:t>
      </w:r>
    </w:p>
    <w:p w14:paraId="31F340E8">
      <w:pPr>
        <w:spacing w:after="0" w:line="240" w:lineRule="auto"/>
        <w:rPr>
          <w:rFonts w:ascii="仿宋_GB2312" w:eastAsia="仿宋_GB2312"/>
          <w:sz w:val="32"/>
          <w:szCs w:val="32"/>
        </w:rPr>
      </w:pPr>
      <w:r>
        <w:rPr>
          <w:rFonts w:ascii="仿宋_GB2312" w:eastAsia="仿宋_GB2312"/>
          <w:sz w:val="32"/>
          <w:szCs w:val="32"/>
        </w:rPr>
        <w:t>六、一般公共预算财政拨款基本支出决算情况说明</w:t>
      </w:r>
    </w:p>
    <w:p w14:paraId="5EFE7F74">
      <w:pPr>
        <w:spacing w:after="0" w:line="240" w:lineRule="auto"/>
        <w:rPr>
          <w:rFonts w:ascii="仿宋_GB2312" w:eastAsia="仿宋_GB2312"/>
          <w:sz w:val="32"/>
          <w:szCs w:val="32"/>
        </w:rPr>
      </w:pPr>
      <w:r>
        <w:rPr>
          <w:rFonts w:ascii="仿宋_GB2312" w:eastAsia="仿宋_GB2312"/>
          <w:sz w:val="32"/>
          <w:szCs w:val="32"/>
        </w:rPr>
        <w:t>七、政府性基金预算财政拨款收入支出决算情况说明</w:t>
      </w:r>
    </w:p>
    <w:p w14:paraId="0E810E7D">
      <w:pPr>
        <w:spacing w:after="0" w:line="240" w:lineRule="auto"/>
        <w:rPr>
          <w:rFonts w:ascii="仿宋_GB2312" w:eastAsia="仿宋_GB2312"/>
          <w:sz w:val="32"/>
          <w:szCs w:val="32"/>
        </w:rPr>
      </w:pPr>
      <w:r>
        <w:rPr>
          <w:rFonts w:ascii="仿宋_GB2312" w:eastAsia="仿宋_GB2312"/>
          <w:sz w:val="32"/>
          <w:szCs w:val="32"/>
        </w:rPr>
        <w:t>八、国有资本经营预算财政拨款收入支出决算情况说明</w:t>
      </w:r>
    </w:p>
    <w:p w14:paraId="63921E34">
      <w:pPr>
        <w:spacing w:after="0" w:line="240" w:lineRule="auto"/>
        <w:rPr>
          <w:rFonts w:ascii="仿宋_GB2312" w:eastAsia="仿宋_GB2312"/>
          <w:sz w:val="32"/>
          <w:szCs w:val="32"/>
        </w:rPr>
      </w:pPr>
      <w:r>
        <w:rPr>
          <w:rFonts w:ascii="仿宋_GB2312" w:eastAsia="仿宋_GB2312"/>
          <w:sz w:val="32"/>
          <w:szCs w:val="32"/>
        </w:rPr>
        <w:t>九、财政拨款“三公”经费支出决算情况说明</w:t>
      </w:r>
    </w:p>
    <w:p w14:paraId="75FDFFFA">
      <w:pPr>
        <w:spacing w:after="0" w:line="240" w:lineRule="auto"/>
        <w:rPr>
          <w:rFonts w:ascii="仿宋_GB2312" w:eastAsia="仿宋_GB2312"/>
          <w:sz w:val="32"/>
          <w:szCs w:val="32"/>
        </w:rPr>
      </w:pPr>
      <w:r>
        <w:rPr>
          <w:rFonts w:ascii="仿宋_GB2312" w:eastAsia="仿宋_GB2312"/>
          <w:sz w:val="32"/>
          <w:szCs w:val="32"/>
        </w:rPr>
        <w:t>十、其他重要事项的情况说明</w:t>
      </w:r>
    </w:p>
    <w:p w14:paraId="351746D1">
      <w:pPr>
        <w:spacing w:after="0" w:line="240" w:lineRule="auto"/>
        <w:rPr>
          <w:rFonts w:ascii="仿宋_GB2312" w:eastAsia="仿宋_GB2312"/>
          <w:sz w:val="32"/>
          <w:szCs w:val="32"/>
        </w:rPr>
      </w:pPr>
      <w:r>
        <w:rPr>
          <w:rFonts w:ascii="仿宋_GB2312" w:eastAsia="仿宋_GB2312"/>
          <w:sz w:val="32"/>
          <w:szCs w:val="32"/>
        </w:rPr>
        <w:t>（一）机关运行经费及公用经费支出情况</w:t>
      </w:r>
    </w:p>
    <w:p w14:paraId="364789BC">
      <w:pPr>
        <w:spacing w:after="0" w:line="240" w:lineRule="auto"/>
        <w:rPr>
          <w:rFonts w:ascii="仿宋_GB2312" w:eastAsia="仿宋_GB2312"/>
          <w:sz w:val="32"/>
          <w:szCs w:val="32"/>
        </w:rPr>
      </w:pPr>
      <w:r>
        <w:rPr>
          <w:rFonts w:ascii="仿宋_GB2312" w:eastAsia="仿宋_GB2312"/>
          <w:sz w:val="32"/>
          <w:szCs w:val="32"/>
        </w:rPr>
        <w:t>（二）政府采购情况</w:t>
      </w:r>
    </w:p>
    <w:p w14:paraId="5B74ADB0">
      <w:pPr>
        <w:spacing w:after="0" w:line="240" w:lineRule="auto"/>
        <w:rPr>
          <w:rFonts w:ascii="仿宋_GB2312" w:eastAsia="仿宋_GB2312"/>
          <w:sz w:val="32"/>
          <w:szCs w:val="32"/>
        </w:rPr>
      </w:pPr>
      <w:r>
        <w:rPr>
          <w:rFonts w:ascii="仿宋_GB2312" w:eastAsia="仿宋_GB2312"/>
          <w:sz w:val="32"/>
          <w:szCs w:val="32"/>
        </w:rPr>
        <w:t>（三）国有资产占用情况说明</w:t>
      </w:r>
    </w:p>
    <w:p w14:paraId="0F4806C9">
      <w:pPr>
        <w:spacing w:after="0" w:line="240" w:lineRule="auto"/>
        <w:rPr>
          <w:rFonts w:ascii="仿宋_GB2312" w:eastAsia="仿宋_GB2312"/>
          <w:sz w:val="32"/>
          <w:szCs w:val="32"/>
        </w:rPr>
      </w:pPr>
      <w:r>
        <w:rPr>
          <w:rFonts w:ascii="仿宋_GB2312" w:eastAsia="仿宋_GB2312"/>
          <w:sz w:val="32"/>
          <w:szCs w:val="32"/>
        </w:rPr>
        <w:t>十一、预算绩效的情况说明</w:t>
      </w:r>
    </w:p>
    <w:p w14:paraId="01B4D0D7">
      <w:pPr>
        <w:spacing w:after="0" w:line="240" w:lineRule="auto"/>
        <w:rPr>
          <w:rFonts w:ascii="仿宋_GB2312" w:eastAsia="仿宋_GB2312"/>
          <w:sz w:val="32"/>
          <w:szCs w:val="32"/>
        </w:rPr>
      </w:pPr>
      <w:r>
        <w:rPr>
          <w:rFonts w:ascii="仿宋_GB2312" w:eastAsia="仿宋_GB2312"/>
          <w:sz w:val="32"/>
          <w:szCs w:val="32"/>
        </w:rPr>
        <w:t>十二、其他需说明的事项</w:t>
      </w:r>
    </w:p>
    <w:p w14:paraId="48D6BF4A">
      <w:pPr>
        <w:spacing w:after="0" w:line="240" w:lineRule="auto"/>
        <w:rPr>
          <w:rFonts w:ascii="仿宋_GB2312" w:eastAsia="仿宋_GB2312"/>
          <w:sz w:val="32"/>
          <w:szCs w:val="32"/>
        </w:rPr>
      </w:pPr>
      <w:r>
        <w:rPr>
          <w:rFonts w:ascii="仿宋_GB2312" w:eastAsia="仿宋_GB2312"/>
          <w:b/>
          <w:sz w:val="32"/>
          <w:szCs w:val="32"/>
        </w:rPr>
        <w:t>第三部分 专业名词解释</w:t>
      </w:r>
    </w:p>
    <w:p w14:paraId="7662FD52">
      <w:pPr>
        <w:spacing w:after="0" w:line="240" w:lineRule="auto"/>
        <w:rPr>
          <w:rFonts w:ascii="仿宋_GB2312" w:eastAsia="仿宋_GB2312"/>
          <w:sz w:val="32"/>
          <w:szCs w:val="32"/>
        </w:rPr>
      </w:pPr>
      <w:r>
        <w:rPr>
          <w:rFonts w:ascii="仿宋_GB2312" w:eastAsia="仿宋_GB2312"/>
          <w:b/>
          <w:sz w:val="32"/>
          <w:szCs w:val="32"/>
        </w:rPr>
        <w:t>第四部分 部门决算报表（见附表）</w:t>
      </w:r>
    </w:p>
    <w:p w14:paraId="3F3A8807">
      <w:pPr>
        <w:spacing w:after="0" w:line="240" w:lineRule="auto"/>
        <w:rPr>
          <w:rFonts w:ascii="仿宋_GB2312" w:eastAsia="仿宋_GB2312"/>
          <w:sz w:val="32"/>
          <w:szCs w:val="32"/>
        </w:rPr>
      </w:pPr>
      <w:r>
        <w:rPr>
          <w:rFonts w:ascii="仿宋_GB2312" w:eastAsia="仿宋_GB2312"/>
          <w:sz w:val="32"/>
          <w:szCs w:val="32"/>
        </w:rPr>
        <w:t>一、《收入支出决算总表》</w:t>
      </w:r>
    </w:p>
    <w:p w14:paraId="5B358A33">
      <w:pPr>
        <w:spacing w:after="0" w:line="240" w:lineRule="auto"/>
        <w:rPr>
          <w:rFonts w:ascii="仿宋_GB2312" w:eastAsia="仿宋_GB2312"/>
          <w:sz w:val="32"/>
          <w:szCs w:val="32"/>
        </w:rPr>
      </w:pPr>
      <w:r>
        <w:rPr>
          <w:rFonts w:ascii="仿宋_GB2312" w:eastAsia="仿宋_GB2312"/>
          <w:sz w:val="32"/>
          <w:szCs w:val="32"/>
        </w:rPr>
        <w:t>二、《收入决算表》</w:t>
      </w:r>
    </w:p>
    <w:p w14:paraId="7A57DE92">
      <w:pPr>
        <w:spacing w:after="0" w:line="240" w:lineRule="auto"/>
        <w:rPr>
          <w:rFonts w:ascii="仿宋_GB2312" w:eastAsia="仿宋_GB2312"/>
          <w:sz w:val="32"/>
          <w:szCs w:val="32"/>
        </w:rPr>
      </w:pPr>
      <w:r>
        <w:rPr>
          <w:rFonts w:ascii="仿宋_GB2312" w:eastAsia="仿宋_GB2312"/>
          <w:sz w:val="32"/>
          <w:szCs w:val="32"/>
        </w:rPr>
        <w:t>三、《支出决算表》</w:t>
      </w:r>
    </w:p>
    <w:p w14:paraId="03693A00">
      <w:pPr>
        <w:spacing w:after="0" w:line="240" w:lineRule="auto"/>
        <w:rPr>
          <w:rFonts w:ascii="仿宋_GB2312" w:eastAsia="仿宋_GB2312"/>
          <w:sz w:val="32"/>
          <w:szCs w:val="32"/>
        </w:rPr>
      </w:pPr>
      <w:r>
        <w:rPr>
          <w:rFonts w:ascii="仿宋_GB2312" w:eastAsia="仿宋_GB2312"/>
          <w:sz w:val="32"/>
          <w:szCs w:val="32"/>
        </w:rPr>
        <w:t>四、《财政拨款收入支出决算总表》</w:t>
      </w:r>
    </w:p>
    <w:p w14:paraId="24959CBC">
      <w:pPr>
        <w:spacing w:after="0" w:line="240" w:lineRule="auto"/>
        <w:rPr>
          <w:rFonts w:ascii="仿宋_GB2312" w:eastAsia="仿宋_GB2312"/>
          <w:sz w:val="32"/>
          <w:szCs w:val="32"/>
        </w:rPr>
      </w:pPr>
      <w:r>
        <w:rPr>
          <w:rFonts w:ascii="仿宋_GB2312" w:eastAsia="仿宋_GB2312"/>
          <w:sz w:val="32"/>
          <w:szCs w:val="32"/>
        </w:rPr>
        <w:t>五、《一般公共预算财政拨款支出决算表》</w:t>
      </w:r>
    </w:p>
    <w:p w14:paraId="1A2376EA">
      <w:pPr>
        <w:spacing w:after="0" w:line="240" w:lineRule="auto"/>
        <w:rPr>
          <w:rFonts w:ascii="仿宋_GB2312" w:eastAsia="仿宋_GB2312"/>
          <w:sz w:val="32"/>
          <w:szCs w:val="32"/>
        </w:rPr>
      </w:pPr>
      <w:r>
        <w:rPr>
          <w:rFonts w:ascii="仿宋_GB2312" w:eastAsia="仿宋_GB2312"/>
          <w:sz w:val="32"/>
          <w:szCs w:val="32"/>
        </w:rPr>
        <w:t>六、《一般公共预算财政拨款基本支出决算表》</w:t>
      </w:r>
    </w:p>
    <w:p w14:paraId="67133843">
      <w:pPr>
        <w:spacing w:after="0" w:line="240" w:lineRule="auto"/>
        <w:rPr>
          <w:rFonts w:ascii="仿宋_GB2312" w:eastAsia="仿宋_GB2312"/>
          <w:sz w:val="32"/>
          <w:szCs w:val="32"/>
        </w:rPr>
      </w:pPr>
      <w:r>
        <w:rPr>
          <w:rFonts w:ascii="仿宋_GB2312" w:eastAsia="仿宋_GB2312"/>
          <w:sz w:val="32"/>
          <w:szCs w:val="32"/>
        </w:rPr>
        <w:t>七、《政府性基金预算财政拨款收入支出决算表》</w:t>
      </w:r>
    </w:p>
    <w:p w14:paraId="3F09B654">
      <w:pPr>
        <w:spacing w:after="0" w:line="240" w:lineRule="auto"/>
        <w:rPr>
          <w:rFonts w:ascii="仿宋_GB2312" w:eastAsia="仿宋_GB2312"/>
          <w:sz w:val="32"/>
          <w:szCs w:val="32"/>
        </w:rPr>
      </w:pPr>
      <w:r>
        <w:rPr>
          <w:rFonts w:ascii="仿宋_GB2312" w:eastAsia="仿宋_GB2312"/>
          <w:sz w:val="32"/>
          <w:szCs w:val="32"/>
        </w:rPr>
        <w:t>八、《国有资本经营预算财政拨款收入支出决算表》</w:t>
      </w:r>
    </w:p>
    <w:p w14:paraId="76884A19">
      <w:pPr>
        <w:spacing w:after="0" w:line="240" w:lineRule="auto"/>
        <w:rPr>
          <w:rFonts w:ascii="仿宋_GB2312" w:eastAsia="仿宋_GB2312"/>
          <w:sz w:val="32"/>
          <w:szCs w:val="32"/>
        </w:rPr>
      </w:pPr>
      <w:r>
        <w:rPr>
          <w:rFonts w:ascii="仿宋_GB2312" w:eastAsia="仿宋_GB2312"/>
          <w:sz w:val="32"/>
          <w:szCs w:val="32"/>
        </w:rPr>
        <w:t>九、《财政拨款“三公”经费支出决算表》</w:t>
      </w:r>
    </w:p>
    <w:p w14:paraId="74FA17C0">
      <w:r>
        <w:rPr>
          <w:sz w:val="0"/>
          <w:szCs w:val="0"/>
        </w:rPr>
        <w:br w:type="page"/>
      </w:r>
    </w:p>
    <w:p w14:paraId="7473A60D">
      <w:pPr>
        <w:spacing w:after="0" w:line="240" w:lineRule="auto"/>
        <w:jc w:val="center"/>
        <w:outlineLvl w:val="0"/>
        <w:rPr>
          <w:rFonts w:ascii="黑体" w:eastAsia="黑体"/>
          <w:sz w:val="32"/>
          <w:szCs w:val="32"/>
        </w:rPr>
      </w:pPr>
      <w:r>
        <w:rPr>
          <w:rFonts w:ascii="黑体" w:eastAsia="黑体"/>
          <w:sz w:val="32"/>
          <w:szCs w:val="32"/>
        </w:rPr>
        <w:t>第一部分单位概况</w:t>
      </w:r>
    </w:p>
    <w:p w14:paraId="1345D611">
      <w:pPr>
        <w:spacing w:after="0" w:line="240" w:lineRule="auto"/>
        <w:ind w:firstLine="640" w:firstLineChars="200"/>
        <w:outlineLvl w:val="1"/>
        <w:rPr>
          <w:rFonts w:ascii="黑体" w:eastAsia="黑体"/>
          <w:sz w:val="32"/>
          <w:szCs w:val="32"/>
        </w:rPr>
      </w:pPr>
      <w:r>
        <w:rPr>
          <w:rFonts w:ascii="黑体" w:eastAsia="黑体"/>
          <w:sz w:val="32"/>
          <w:szCs w:val="32"/>
        </w:rPr>
        <w:t>一、主要职能</w:t>
      </w:r>
    </w:p>
    <w:p w14:paraId="4BA41135">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本单位工作职能：开展煤炭技术研究，促进科学技术发</w:t>
      </w:r>
      <w:bookmarkStart w:id="0" w:name="_GoBack"/>
      <w:bookmarkEnd w:id="0"/>
      <w:r>
        <w:rPr>
          <w:rFonts w:ascii="仿宋_GB2312" w:eastAsia="仿宋_GB2312"/>
          <w:sz w:val="32"/>
          <w:szCs w:val="32"/>
        </w:rPr>
        <w:t>展，煤炭开采方法、安全生产、环境治理的技术研究与推广。矿山灾害预防与治理、地质灾害综合研究与技术交流，煤层气工程技术研究，矿产资源和煤化工产品分析评价与综合利用研究。矿山职业卫生监测与评价、职业病防治技术研究、矿山设备研究与推广应用。碳计量、碳评估和低碳利用等</w:t>
      </w:r>
      <w:r>
        <w:rPr>
          <w:rFonts w:hint="eastAsia" w:ascii="仿宋_GB2312" w:eastAsia="仿宋_GB2312"/>
          <w:sz w:val="32"/>
          <w:szCs w:val="32"/>
          <w:lang w:eastAsia="zh-CN"/>
        </w:rPr>
        <w:t>“双碳”</w:t>
      </w:r>
      <w:r>
        <w:rPr>
          <w:rFonts w:ascii="仿宋_GB2312" w:eastAsia="仿宋_GB2312"/>
          <w:sz w:val="32"/>
          <w:szCs w:val="32"/>
        </w:rPr>
        <w:t>领域技术开发与应用。</w:t>
      </w:r>
    </w:p>
    <w:p w14:paraId="0DFE9DC1">
      <w:pPr>
        <w:spacing w:after="0" w:line="240" w:lineRule="auto"/>
        <w:ind w:firstLine="640" w:firstLineChars="200"/>
        <w:outlineLvl w:val="1"/>
        <w:rPr>
          <w:rFonts w:ascii="黑体" w:eastAsia="黑体"/>
          <w:sz w:val="32"/>
          <w:szCs w:val="32"/>
        </w:rPr>
      </w:pPr>
      <w:r>
        <w:rPr>
          <w:rFonts w:ascii="黑体" w:eastAsia="黑体"/>
          <w:sz w:val="32"/>
          <w:szCs w:val="32"/>
        </w:rPr>
        <w:t>二、机构设置</w:t>
      </w:r>
    </w:p>
    <w:p w14:paraId="3FD05215">
      <w:pPr>
        <w:spacing w:after="0" w:line="240" w:lineRule="auto"/>
        <w:ind w:firstLine="640" w:firstLineChars="200"/>
        <w:jc w:val="both"/>
        <w:rPr>
          <w:rFonts w:ascii="仿宋_GB2312" w:eastAsia="仿宋_GB2312"/>
          <w:sz w:val="32"/>
          <w:szCs w:val="32"/>
        </w:rPr>
      </w:pPr>
      <w:r>
        <w:rPr>
          <w:rFonts w:ascii="仿宋_GB2312" w:eastAsia="仿宋_GB2312"/>
          <w:sz w:val="32"/>
          <w:szCs w:val="32"/>
        </w:rPr>
        <w:t>新疆维吾尔自治区煤炭科学研究所无下属预算单位。</w:t>
      </w:r>
    </w:p>
    <w:p w14:paraId="591A1E4A">
      <w:r>
        <w:rPr>
          <w:sz w:val="0"/>
          <w:szCs w:val="0"/>
        </w:rPr>
        <w:br w:type="page"/>
      </w:r>
    </w:p>
    <w:p w14:paraId="2D6C6651">
      <w:pPr>
        <w:spacing w:after="0" w:line="240" w:lineRule="auto"/>
        <w:jc w:val="center"/>
        <w:outlineLvl w:val="0"/>
        <w:rPr>
          <w:rFonts w:ascii="黑体" w:eastAsia="黑体"/>
          <w:sz w:val="32"/>
          <w:szCs w:val="32"/>
        </w:rPr>
      </w:pPr>
      <w:r>
        <w:rPr>
          <w:rFonts w:ascii="黑体" w:eastAsia="黑体"/>
          <w:sz w:val="32"/>
          <w:szCs w:val="32"/>
        </w:rPr>
        <w:t>第二部分 部门决算情况说明</w:t>
      </w:r>
    </w:p>
    <w:p w14:paraId="5D693E66">
      <w:pPr>
        <w:spacing w:after="0" w:line="240" w:lineRule="auto"/>
        <w:ind w:firstLine="640" w:firstLineChars="200"/>
        <w:outlineLvl w:val="1"/>
        <w:rPr>
          <w:rFonts w:ascii="黑体" w:eastAsia="黑体"/>
          <w:sz w:val="32"/>
          <w:szCs w:val="32"/>
        </w:rPr>
      </w:pPr>
      <w:r>
        <w:rPr>
          <w:rFonts w:ascii="黑体" w:eastAsia="黑体"/>
          <w:sz w:val="32"/>
          <w:szCs w:val="32"/>
        </w:rPr>
        <w:t>一、收入支出决算总体情况说明</w:t>
      </w:r>
    </w:p>
    <w:p w14:paraId="160C46BE">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2025年度收入总计1,908.88万元，其中：本年收入合计1,908.88万元，使用非财政拨款结余（含专用结余）0.00万元，年初结转和结余0.00万元。</w:t>
      </w:r>
    </w:p>
    <w:p w14:paraId="77493FDA">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2025年度支出总计1,908.88万元，其中：本年支出合计1,671.01万元，结余分配170.75万元，年末结转和结余67.11万元。</w:t>
      </w:r>
    </w:p>
    <w:p w14:paraId="4A4E2CCA">
      <w:pPr>
        <w:spacing w:after="0" w:line="240" w:lineRule="auto"/>
        <w:ind w:firstLine="640" w:firstLineChars="200"/>
        <w:jc w:val="both"/>
        <w:rPr>
          <w:rFonts w:hint="default" w:ascii="仿宋_GB2312" w:eastAsia="仿宋_GB2312"/>
          <w:sz w:val="32"/>
          <w:szCs w:val="32"/>
          <w:lang w:val="en-US"/>
        </w:rPr>
      </w:pPr>
      <w:r>
        <w:rPr>
          <w:rFonts w:ascii="仿宋_GB2312" w:eastAsia="仿宋_GB2312"/>
          <w:sz w:val="32"/>
          <w:szCs w:val="32"/>
        </w:rPr>
        <w:t>收入支出总体与上年相比，增加119.18万元，增长6.66%，主要原因是：</w:t>
      </w:r>
      <w:r>
        <w:rPr>
          <w:rFonts w:hint="eastAsia" w:ascii="仿宋_GB2312" w:eastAsia="仿宋_GB2312"/>
          <w:sz w:val="32"/>
          <w:szCs w:val="32"/>
          <w:lang w:val="en-US" w:eastAsia="zh-CN"/>
        </w:rPr>
        <w:t>本年在职人员</w:t>
      </w:r>
      <w:r>
        <w:rPr>
          <w:rFonts w:ascii="仿宋_GB2312" w:eastAsia="仿宋_GB2312"/>
          <w:sz w:val="32"/>
          <w:szCs w:val="32"/>
        </w:rPr>
        <w:t>工资</w:t>
      </w:r>
      <w:r>
        <w:rPr>
          <w:rFonts w:hint="eastAsia" w:ascii="仿宋_GB2312" w:eastAsia="仿宋_GB2312"/>
          <w:sz w:val="32"/>
          <w:szCs w:val="32"/>
          <w:lang w:val="en-US" w:eastAsia="zh-CN"/>
        </w:rPr>
        <w:t>调增，</w:t>
      </w:r>
      <w:r>
        <w:rPr>
          <w:rFonts w:ascii="仿宋_GB2312" w:eastAsia="仿宋_GB2312"/>
          <w:sz w:val="32"/>
          <w:szCs w:val="32"/>
        </w:rPr>
        <w:t>社保</w:t>
      </w:r>
      <w:r>
        <w:rPr>
          <w:rFonts w:hint="eastAsia" w:ascii="仿宋_GB2312" w:eastAsia="仿宋_GB2312"/>
          <w:sz w:val="32"/>
          <w:szCs w:val="32"/>
          <w:lang w:eastAsia="zh-CN"/>
        </w:rPr>
        <w:t>、</w:t>
      </w:r>
      <w:r>
        <w:rPr>
          <w:rFonts w:hint="eastAsia" w:ascii="仿宋_GB2312" w:eastAsia="仿宋_GB2312"/>
          <w:sz w:val="32"/>
          <w:szCs w:val="32"/>
          <w:lang w:val="en-US" w:eastAsia="zh-CN"/>
        </w:rPr>
        <w:t>公积金基数调增，人员经费增加；较上年增加重点研发项目。</w:t>
      </w:r>
    </w:p>
    <w:p w14:paraId="1BC18429">
      <w:pPr>
        <w:spacing w:after="0" w:line="240" w:lineRule="auto"/>
        <w:ind w:firstLine="640" w:firstLineChars="200"/>
        <w:outlineLvl w:val="1"/>
        <w:rPr>
          <w:rFonts w:ascii="黑体" w:eastAsia="黑体"/>
          <w:sz w:val="32"/>
          <w:szCs w:val="32"/>
        </w:rPr>
      </w:pPr>
      <w:r>
        <w:rPr>
          <w:rFonts w:ascii="黑体" w:eastAsia="黑体"/>
          <w:sz w:val="32"/>
          <w:szCs w:val="32"/>
        </w:rPr>
        <w:t>二、收入决算情况说明</w:t>
      </w:r>
    </w:p>
    <w:p w14:paraId="5FBFF5CA">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年收入1,908.88万元，其中：财政拨款收入803.67万元,占42.10%；上级补助收入0.00万元,占0.00%；事业收入916.39万元，占48.01%；经营收入0.00万元,占0.00%；附属单位上缴收入0.00万元，占0.00%；其他收入188.82万元，占9.89%。</w:t>
      </w:r>
    </w:p>
    <w:p w14:paraId="470EE8BE">
      <w:pPr>
        <w:spacing w:after="0" w:line="240" w:lineRule="auto"/>
        <w:ind w:firstLine="640" w:firstLineChars="200"/>
        <w:outlineLvl w:val="1"/>
        <w:rPr>
          <w:rFonts w:ascii="黑体" w:eastAsia="黑体"/>
          <w:sz w:val="32"/>
          <w:szCs w:val="32"/>
        </w:rPr>
      </w:pPr>
      <w:r>
        <w:rPr>
          <w:rFonts w:ascii="黑体" w:eastAsia="黑体"/>
          <w:sz w:val="32"/>
          <w:szCs w:val="32"/>
        </w:rPr>
        <w:t>三、支出决算情况说明</w:t>
      </w:r>
    </w:p>
    <w:p w14:paraId="1289D08A">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本年支出1,671.01万元，其中：基本支出1,147.79万元，占68.69%；项目支出523.23万元，占31.31%；上缴上级支出0.00万元，占0.00%；经营支出0.00万元，占0.00%；对附属单位补助支出0.00万元，占0.00%。</w:t>
      </w:r>
    </w:p>
    <w:p w14:paraId="3FC3CF61">
      <w:pPr>
        <w:spacing w:after="0" w:line="240" w:lineRule="auto"/>
        <w:ind w:firstLine="640" w:firstLineChars="200"/>
        <w:outlineLvl w:val="1"/>
        <w:rPr>
          <w:rFonts w:ascii="黑体" w:eastAsia="黑体"/>
          <w:sz w:val="32"/>
          <w:szCs w:val="32"/>
        </w:rPr>
      </w:pPr>
      <w:r>
        <w:rPr>
          <w:rFonts w:ascii="黑体" w:eastAsia="黑体"/>
          <w:sz w:val="32"/>
          <w:szCs w:val="32"/>
        </w:rPr>
        <w:t>四、财政拨款收入支出决算总体情况说明</w:t>
      </w:r>
    </w:p>
    <w:p w14:paraId="0036BB78">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2025年度财政拨款收入总计803.67万元，其中：年初财政拨款结转和结余0.00万元，本年财政拨款收入803.67万元。财政拨款支出总计803.67万元，其中：年末财政拨款结转和结余0.00万元，本年财政拨款支出803.67万元。</w:t>
      </w:r>
    </w:p>
    <w:p w14:paraId="43BD52F8">
      <w:pPr>
        <w:spacing w:after="0" w:line="240" w:lineRule="auto"/>
        <w:ind w:firstLine="640" w:firstLineChars="200"/>
        <w:jc w:val="both"/>
        <w:rPr>
          <w:rFonts w:ascii="仿宋_GB2312" w:eastAsia="仿宋_GB2312"/>
          <w:sz w:val="32"/>
          <w:szCs w:val="32"/>
        </w:rPr>
      </w:pPr>
      <w:r>
        <w:rPr>
          <w:rFonts w:ascii="仿宋_GB2312" w:eastAsia="仿宋_GB2312"/>
          <w:sz w:val="32"/>
          <w:szCs w:val="32"/>
        </w:rPr>
        <w:t>财政拨款收入支出总体与上年相比，增加21.72万元，增长2.78%，主要原因是：</w:t>
      </w:r>
      <w:r>
        <w:rPr>
          <w:rFonts w:hint="eastAsia" w:ascii="仿宋_GB2312" w:eastAsia="仿宋_GB2312"/>
          <w:sz w:val="32"/>
          <w:szCs w:val="32"/>
          <w:lang w:val="en-US" w:eastAsia="zh-CN"/>
        </w:rPr>
        <w:t>本年在职人员</w:t>
      </w:r>
      <w:r>
        <w:rPr>
          <w:rFonts w:ascii="仿宋_GB2312" w:eastAsia="仿宋_GB2312"/>
          <w:sz w:val="32"/>
          <w:szCs w:val="32"/>
        </w:rPr>
        <w:t>工资</w:t>
      </w:r>
      <w:r>
        <w:rPr>
          <w:rFonts w:hint="eastAsia" w:ascii="仿宋_GB2312" w:eastAsia="仿宋_GB2312"/>
          <w:sz w:val="32"/>
          <w:szCs w:val="32"/>
          <w:lang w:val="en-US" w:eastAsia="zh-CN"/>
        </w:rPr>
        <w:t>调增，</w:t>
      </w:r>
      <w:r>
        <w:rPr>
          <w:rFonts w:ascii="仿宋_GB2312" w:eastAsia="仿宋_GB2312"/>
          <w:sz w:val="32"/>
          <w:szCs w:val="32"/>
        </w:rPr>
        <w:t>社保</w:t>
      </w:r>
      <w:r>
        <w:rPr>
          <w:rFonts w:hint="eastAsia" w:ascii="仿宋_GB2312" w:eastAsia="仿宋_GB2312"/>
          <w:sz w:val="32"/>
          <w:szCs w:val="32"/>
          <w:lang w:eastAsia="zh-CN"/>
        </w:rPr>
        <w:t>、</w:t>
      </w:r>
      <w:r>
        <w:rPr>
          <w:rFonts w:hint="eastAsia" w:ascii="仿宋_GB2312" w:eastAsia="仿宋_GB2312"/>
          <w:sz w:val="32"/>
          <w:szCs w:val="32"/>
          <w:lang w:val="en-US" w:eastAsia="zh-CN"/>
        </w:rPr>
        <w:t>公积金基数调增，人员经费增加</w:t>
      </w:r>
      <w:r>
        <w:rPr>
          <w:rFonts w:ascii="仿宋_GB2312" w:eastAsia="仿宋_GB2312"/>
          <w:sz w:val="32"/>
          <w:szCs w:val="32"/>
        </w:rPr>
        <w:t>。与年初预算相比，年初预算数740.67万元，决算数803.67万元，预决算差异率8.51%，主要原因是：</w:t>
      </w:r>
      <w:r>
        <w:rPr>
          <w:rFonts w:hint="eastAsia" w:ascii="仿宋_GB2312" w:eastAsia="仿宋_GB2312"/>
          <w:sz w:val="32"/>
          <w:szCs w:val="32"/>
          <w:lang w:val="en-US" w:eastAsia="zh-CN"/>
        </w:rPr>
        <w:t>年中追加人员</w:t>
      </w:r>
      <w:r>
        <w:rPr>
          <w:rFonts w:ascii="仿宋_GB2312" w:eastAsia="仿宋_GB2312"/>
          <w:sz w:val="32"/>
          <w:szCs w:val="32"/>
        </w:rPr>
        <w:t>工资</w:t>
      </w:r>
      <w:r>
        <w:rPr>
          <w:rFonts w:hint="eastAsia" w:ascii="仿宋_GB2312" w:eastAsia="仿宋_GB2312"/>
          <w:sz w:val="32"/>
          <w:szCs w:val="32"/>
          <w:lang w:eastAsia="zh-CN"/>
        </w:rPr>
        <w:t>、</w:t>
      </w:r>
      <w:r>
        <w:rPr>
          <w:rFonts w:hint="eastAsia" w:ascii="仿宋_GB2312" w:eastAsia="仿宋_GB2312"/>
          <w:sz w:val="32"/>
          <w:szCs w:val="32"/>
          <w:lang w:val="en-US" w:eastAsia="zh-CN"/>
        </w:rPr>
        <w:t>社保、公积金基数调增部分资金，导致预决算存在差异</w:t>
      </w:r>
      <w:r>
        <w:rPr>
          <w:rFonts w:ascii="仿宋_GB2312" w:eastAsia="仿宋_GB2312"/>
          <w:sz w:val="32"/>
          <w:szCs w:val="32"/>
        </w:rPr>
        <w:t>。</w:t>
      </w:r>
    </w:p>
    <w:p w14:paraId="249D6DC3">
      <w:pPr>
        <w:spacing w:after="0" w:line="240" w:lineRule="auto"/>
        <w:ind w:firstLine="640" w:firstLineChars="200"/>
        <w:outlineLvl w:val="1"/>
        <w:rPr>
          <w:rFonts w:ascii="黑体" w:eastAsia="黑体"/>
          <w:sz w:val="32"/>
          <w:szCs w:val="32"/>
        </w:rPr>
      </w:pPr>
      <w:r>
        <w:rPr>
          <w:rFonts w:ascii="黑体" w:eastAsia="黑体"/>
          <w:sz w:val="32"/>
          <w:szCs w:val="32"/>
        </w:rPr>
        <w:t>五、一般公共预算财政拨款支出决算情况说明</w:t>
      </w:r>
    </w:p>
    <w:p w14:paraId="310A3EBA">
      <w:pPr>
        <w:spacing w:after="0" w:line="240" w:lineRule="auto"/>
        <w:ind w:firstLine="640" w:firstLineChars="200"/>
        <w:rPr>
          <w:rFonts w:ascii="仿宋_GB2312" w:eastAsia="仿宋_GB2312"/>
          <w:sz w:val="32"/>
          <w:szCs w:val="32"/>
        </w:rPr>
      </w:pPr>
      <w:r>
        <w:rPr>
          <w:rFonts w:ascii="仿宋_GB2312" w:eastAsia="仿宋_GB2312"/>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sz w:val="32"/>
          <w:szCs w:val="32"/>
          <w:lang w:val="en-US" w:eastAsia="zh-CN"/>
        </w:rPr>
        <w:t>机构运行、公共服务</w:t>
      </w:r>
      <w:r>
        <w:rPr>
          <w:rFonts w:ascii="仿宋_GB2312" w:eastAsia="仿宋_GB2312"/>
          <w:sz w:val="32"/>
          <w:szCs w:val="32"/>
        </w:rPr>
        <w:t>等重点支出，体现在有关支出科目中。</w:t>
      </w:r>
    </w:p>
    <w:p w14:paraId="3580058E">
      <w:pPr>
        <w:spacing w:after="0" w:line="240" w:lineRule="auto"/>
        <w:ind w:firstLine="640" w:firstLineChars="200"/>
        <w:rPr>
          <w:rFonts w:ascii="仿宋_GB2312" w:eastAsia="仿宋_GB2312"/>
          <w:sz w:val="32"/>
          <w:szCs w:val="32"/>
        </w:rPr>
      </w:pPr>
      <w:r>
        <w:rPr>
          <w:rFonts w:ascii="仿宋_GB2312" w:eastAsia="仿宋_GB2312"/>
          <w:sz w:val="32"/>
          <w:szCs w:val="32"/>
        </w:rPr>
        <w:t>按照支出功能分类，科学技术支出（类）应用研究（款）机构运行（项）的支出占本年财政拨款支出总额的比重最高，2025年度决算数为777.12万元，占比96.70%，主要用于</w:t>
      </w:r>
      <w:r>
        <w:rPr>
          <w:rFonts w:hint="eastAsia" w:ascii="仿宋_GB2312" w:eastAsia="仿宋_GB2312"/>
          <w:sz w:val="32"/>
          <w:szCs w:val="32"/>
          <w:lang w:val="en-US" w:eastAsia="zh-CN"/>
        </w:rPr>
        <w:t>人员工资福利、日常公用经费</w:t>
      </w:r>
      <w:r>
        <w:rPr>
          <w:rFonts w:ascii="仿宋_GB2312" w:eastAsia="仿宋_GB2312"/>
          <w:sz w:val="32"/>
          <w:szCs w:val="32"/>
        </w:rPr>
        <w:t>。</w:t>
      </w:r>
    </w:p>
    <w:p w14:paraId="5A0AC726">
      <w:pPr>
        <w:spacing w:after="0" w:line="240" w:lineRule="auto"/>
        <w:ind w:firstLine="640" w:firstLineChars="200"/>
        <w:jc w:val="both"/>
        <w:outlineLvl w:val="2"/>
        <w:rPr>
          <w:rFonts w:ascii="黑体" w:eastAsia="黑体"/>
          <w:sz w:val="32"/>
          <w:szCs w:val="32"/>
        </w:rPr>
      </w:pPr>
      <w:r>
        <w:rPr>
          <w:rFonts w:ascii="黑体" w:eastAsia="黑体"/>
          <w:sz w:val="32"/>
          <w:szCs w:val="32"/>
        </w:rPr>
        <w:t>（一）一般公共预算财政拨款支出决算总体情况</w:t>
      </w:r>
    </w:p>
    <w:p w14:paraId="6A2CDE9F">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2025年度一般公共预算财政拨款支出803.67万元，占本年支出合计的48.09%。与上年相比，增加21.72万元，增长2.78%，主要原因是：</w:t>
      </w:r>
      <w:r>
        <w:rPr>
          <w:rFonts w:hint="eastAsia" w:ascii="仿宋_GB2312" w:eastAsia="仿宋_GB2312"/>
          <w:sz w:val="32"/>
          <w:szCs w:val="32"/>
          <w:lang w:val="en-US" w:eastAsia="zh-CN"/>
        </w:rPr>
        <w:t>本年在职人员工资调增，社保、公积金基数调增，人员经费增加</w:t>
      </w:r>
      <w:r>
        <w:rPr>
          <w:rFonts w:ascii="仿宋_GB2312" w:eastAsia="仿宋_GB2312"/>
          <w:sz w:val="32"/>
          <w:szCs w:val="32"/>
        </w:rPr>
        <w:t>。与年初预算相比，年初预算数740.67万元，决算数803.67万元，预决算差异率8.51%，主要原因是：</w:t>
      </w:r>
      <w:r>
        <w:rPr>
          <w:rFonts w:hint="eastAsia" w:ascii="仿宋_GB2312" w:eastAsia="仿宋_GB2312"/>
          <w:sz w:val="32"/>
          <w:szCs w:val="32"/>
          <w:lang w:val="en-US" w:eastAsia="zh-CN"/>
        </w:rPr>
        <w:t>年中追加人员</w:t>
      </w:r>
      <w:r>
        <w:rPr>
          <w:rFonts w:ascii="仿宋_GB2312" w:eastAsia="仿宋_GB2312"/>
          <w:sz w:val="32"/>
          <w:szCs w:val="32"/>
        </w:rPr>
        <w:t>工资</w:t>
      </w:r>
      <w:r>
        <w:rPr>
          <w:rFonts w:hint="eastAsia" w:ascii="仿宋_GB2312" w:eastAsia="仿宋_GB2312"/>
          <w:sz w:val="32"/>
          <w:szCs w:val="32"/>
          <w:lang w:eastAsia="zh-CN"/>
        </w:rPr>
        <w:t>、</w:t>
      </w:r>
      <w:r>
        <w:rPr>
          <w:rFonts w:hint="eastAsia" w:ascii="仿宋_GB2312" w:eastAsia="仿宋_GB2312"/>
          <w:sz w:val="32"/>
          <w:szCs w:val="32"/>
          <w:lang w:val="en-US" w:eastAsia="zh-CN"/>
        </w:rPr>
        <w:t>社保、公积金基数调增部分资金，导致预决算存在差异</w:t>
      </w:r>
      <w:r>
        <w:rPr>
          <w:rFonts w:ascii="仿宋_GB2312" w:eastAsia="仿宋_GB2312"/>
          <w:sz w:val="32"/>
          <w:szCs w:val="32"/>
        </w:rPr>
        <w:t>。</w:t>
      </w:r>
    </w:p>
    <w:p w14:paraId="6F1E3B64">
      <w:pPr>
        <w:spacing w:after="0" w:line="240" w:lineRule="auto"/>
        <w:ind w:firstLine="640" w:firstLineChars="200"/>
        <w:outlineLvl w:val="2"/>
        <w:rPr>
          <w:rFonts w:ascii="黑体" w:eastAsia="黑体"/>
          <w:sz w:val="32"/>
          <w:szCs w:val="32"/>
        </w:rPr>
      </w:pPr>
      <w:r>
        <w:rPr>
          <w:rFonts w:ascii="黑体" w:eastAsia="黑体"/>
          <w:sz w:val="32"/>
          <w:szCs w:val="32"/>
        </w:rPr>
        <w:t>（二）一般公共预算财政拨款支出决算结构情况</w:t>
      </w:r>
    </w:p>
    <w:p w14:paraId="71107647">
      <w:pPr>
        <w:spacing w:after="0" w:line="240" w:lineRule="auto"/>
        <w:ind w:firstLine="640" w:firstLineChars="200"/>
        <w:jc w:val="both"/>
        <w:rPr>
          <w:rFonts w:ascii="仿宋_GB2312" w:eastAsia="仿宋_GB2312"/>
          <w:sz w:val="32"/>
          <w:szCs w:val="32"/>
        </w:rPr>
      </w:pPr>
      <w:r>
        <w:rPr>
          <w:rFonts w:ascii="仿宋_GB2312" w:eastAsia="仿宋_GB2312"/>
          <w:sz w:val="32"/>
          <w:szCs w:val="32"/>
        </w:rPr>
        <w:t>1.科学技术支出（类）777.12万元，占96.70%。</w:t>
      </w:r>
    </w:p>
    <w:p w14:paraId="7D151960">
      <w:pPr>
        <w:spacing w:after="0" w:line="240" w:lineRule="auto"/>
        <w:ind w:firstLine="640" w:firstLineChars="200"/>
        <w:jc w:val="both"/>
        <w:rPr>
          <w:rFonts w:ascii="仿宋_GB2312" w:eastAsia="仿宋_GB2312"/>
          <w:sz w:val="32"/>
          <w:szCs w:val="32"/>
        </w:rPr>
      </w:pPr>
      <w:r>
        <w:rPr>
          <w:rFonts w:ascii="仿宋_GB2312" w:eastAsia="仿宋_GB2312"/>
          <w:sz w:val="32"/>
          <w:szCs w:val="32"/>
        </w:rPr>
        <w:t>2.社会保障和就业支出（类）19.92万元，占2.48%。</w:t>
      </w:r>
    </w:p>
    <w:p w14:paraId="038BEF5C">
      <w:pPr>
        <w:spacing w:after="0" w:line="240" w:lineRule="auto"/>
        <w:ind w:firstLine="640" w:firstLineChars="200"/>
        <w:jc w:val="both"/>
        <w:rPr>
          <w:rFonts w:ascii="仿宋_GB2312" w:eastAsia="仿宋_GB2312"/>
          <w:sz w:val="32"/>
          <w:szCs w:val="32"/>
        </w:rPr>
      </w:pPr>
      <w:r>
        <w:rPr>
          <w:rFonts w:ascii="仿宋_GB2312" w:eastAsia="仿宋_GB2312"/>
          <w:sz w:val="32"/>
          <w:szCs w:val="32"/>
        </w:rPr>
        <w:t>3.卫生健康支出（类）3.63万元，占0.45%。</w:t>
      </w:r>
    </w:p>
    <w:p w14:paraId="7B584CDF">
      <w:pPr>
        <w:spacing w:after="0" w:line="240" w:lineRule="auto"/>
        <w:ind w:firstLine="640" w:firstLineChars="200"/>
        <w:jc w:val="both"/>
        <w:rPr>
          <w:rFonts w:ascii="仿宋_GB2312" w:eastAsia="仿宋_GB2312"/>
          <w:sz w:val="32"/>
          <w:szCs w:val="32"/>
        </w:rPr>
      </w:pPr>
      <w:r>
        <w:rPr>
          <w:rFonts w:ascii="仿宋_GB2312" w:eastAsia="仿宋_GB2312"/>
          <w:sz w:val="32"/>
          <w:szCs w:val="32"/>
        </w:rPr>
        <w:t>4.住房保障支出（类）3.00万元，占0.37%。</w:t>
      </w:r>
    </w:p>
    <w:p w14:paraId="6E454916">
      <w:pPr>
        <w:spacing w:after="0" w:line="240" w:lineRule="auto"/>
        <w:ind w:firstLine="640" w:firstLineChars="200"/>
        <w:outlineLvl w:val="2"/>
        <w:rPr>
          <w:rFonts w:ascii="黑体" w:eastAsia="黑体"/>
          <w:sz w:val="32"/>
          <w:szCs w:val="32"/>
        </w:rPr>
      </w:pPr>
      <w:r>
        <w:rPr>
          <w:rFonts w:ascii="黑体" w:eastAsia="黑体"/>
          <w:sz w:val="32"/>
          <w:szCs w:val="32"/>
        </w:rPr>
        <w:t>（三）一般公共预算财政拨款支出决算具体情况</w:t>
      </w:r>
    </w:p>
    <w:p w14:paraId="350B6AC6">
      <w:pPr>
        <w:spacing w:after="0" w:line="24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w:t>
      </w:r>
      <w:r>
        <w:rPr>
          <w:rFonts w:ascii="仿宋_GB2312" w:eastAsia="仿宋_GB2312"/>
          <w:sz w:val="32"/>
          <w:szCs w:val="32"/>
        </w:rPr>
        <w:t>科学技术支出（类）应用研究（款）机构运行（项）：支出决算数为777.12万元，比上年决算增加10.17万元，增长1.33%，主要原因是：</w:t>
      </w:r>
      <w:r>
        <w:rPr>
          <w:rFonts w:hint="eastAsia" w:ascii="仿宋_GB2312" w:eastAsia="仿宋_GB2312"/>
          <w:sz w:val="32"/>
          <w:szCs w:val="32"/>
          <w:lang w:val="en-US" w:eastAsia="zh-CN"/>
        </w:rPr>
        <w:t>本年在职人员工资调增，导致相关人员经费较上年有所增加</w:t>
      </w:r>
      <w:r>
        <w:rPr>
          <w:rFonts w:ascii="仿宋_GB2312" w:eastAsia="仿宋_GB2312"/>
          <w:sz w:val="32"/>
          <w:szCs w:val="32"/>
        </w:rPr>
        <w:t>。</w:t>
      </w:r>
    </w:p>
    <w:p w14:paraId="3C6700F2">
      <w:pPr>
        <w:spacing w:after="0" w:line="240" w:lineRule="auto"/>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lang w:val="en-US" w:eastAsia="zh-CN"/>
        </w:rPr>
        <w:t>.</w:t>
      </w:r>
      <w:r>
        <w:rPr>
          <w:rFonts w:ascii="仿宋_GB2312" w:eastAsia="仿宋_GB2312"/>
          <w:sz w:val="32"/>
          <w:szCs w:val="32"/>
        </w:rPr>
        <w:t>社会保障和就业支出（类）人力资源和社会保障管理事务（款）其他人力资源和社会保障管理事务支出（项）：支出决算数为15.00万元，与上年相比无变化，主要原因是：</w:t>
      </w:r>
      <w:r>
        <w:rPr>
          <w:rFonts w:hint="eastAsia" w:ascii="仿宋_GB2312" w:eastAsia="仿宋_GB2312"/>
          <w:sz w:val="32"/>
          <w:szCs w:val="32"/>
          <w:lang w:val="en-US" w:eastAsia="zh-CN"/>
        </w:rPr>
        <w:t>本年单位</w:t>
      </w:r>
      <w:r>
        <w:rPr>
          <w:rFonts w:ascii="仿宋_GB2312" w:eastAsia="仿宋_GB2312"/>
          <w:sz w:val="32"/>
          <w:szCs w:val="32"/>
        </w:rPr>
        <w:t>天池英才计划项目</w:t>
      </w:r>
      <w:r>
        <w:rPr>
          <w:rFonts w:hint="eastAsia" w:ascii="仿宋_GB2312" w:eastAsia="仿宋_GB2312"/>
          <w:sz w:val="32"/>
          <w:szCs w:val="32"/>
          <w:lang w:val="en-US" w:eastAsia="zh-CN"/>
        </w:rPr>
        <w:t>与上年一致无变化</w:t>
      </w:r>
      <w:r>
        <w:rPr>
          <w:rFonts w:ascii="仿宋_GB2312" w:eastAsia="仿宋_GB2312"/>
          <w:sz w:val="32"/>
          <w:szCs w:val="32"/>
        </w:rPr>
        <w:t>。</w:t>
      </w:r>
    </w:p>
    <w:p w14:paraId="42EDDB8B">
      <w:pPr>
        <w:spacing w:after="0" w:line="240" w:lineRule="auto"/>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社会保障和就业支出（类）行政事业单位养老支出（款）事业单位离退休（项）：支出决算数为0.91万元，比上年决算增加0.91万元，增长100.00%，主要原因是：</w:t>
      </w:r>
      <w:r>
        <w:rPr>
          <w:rFonts w:hint="eastAsia" w:ascii="仿宋_GB2312" w:eastAsia="仿宋_GB2312"/>
          <w:sz w:val="32"/>
          <w:szCs w:val="32"/>
          <w:lang w:val="en-US" w:eastAsia="zh-CN"/>
        </w:rPr>
        <w:t>本年功能调整，离休费上年度在主科目列支，本年单独列支，导致经费较上年增加</w:t>
      </w:r>
      <w:r>
        <w:rPr>
          <w:rFonts w:ascii="仿宋_GB2312" w:eastAsia="仿宋_GB2312"/>
          <w:sz w:val="32"/>
          <w:szCs w:val="32"/>
        </w:rPr>
        <w:t>。</w:t>
      </w:r>
    </w:p>
    <w:p w14:paraId="0CDC4B63">
      <w:pPr>
        <w:spacing w:after="0" w:line="240" w:lineRule="auto"/>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社会保障和就业支出（类）行政事业单位养老支出（款）机关事业单位基本养老保险缴费支出（项）：支出决算数为4.01万元，比上年决算增加4.01万元，增长100.00%，主要原因是：</w:t>
      </w:r>
      <w:r>
        <w:rPr>
          <w:rFonts w:hint="eastAsia" w:ascii="仿宋_GB2312" w:eastAsia="仿宋_GB2312"/>
          <w:sz w:val="32"/>
          <w:szCs w:val="32"/>
          <w:lang w:val="en-US" w:eastAsia="zh-CN"/>
        </w:rPr>
        <w:t>本年功能调整，</w:t>
      </w:r>
      <w:r>
        <w:rPr>
          <w:rFonts w:ascii="仿宋_GB2312" w:eastAsia="仿宋_GB2312"/>
          <w:sz w:val="32"/>
          <w:szCs w:val="32"/>
        </w:rPr>
        <w:t>机关事业单位基本养老保险缴费</w:t>
      </w:r>
      <w:r>
        <w:rPr>
          <w:rFonts w:hint="eastAsia" w:ascii="仿宋_GB2312" w:eastAsia="仿宋_GB2312"/>
          <w:sz w:val="32"/>
          <w:szCs w:val="32"/>
          <w:lang w:val="en-US" w:eastAsia="zh-CN"/>
        </w:rPr>
        <w:t>上年度在主科目列支，本年单独列支，导致经费较上年增加</w:t>
      </w:r>
      <w:r>
        <w:rPr>
          <w:rFonts w:ascii="仿宋_GB2312" w:eastAsia="仿宋_GB2312"/>
          <w:sz w:val="32"/>
          <w:szCs w:val="32"/>
        </w:rPr>
        <w:t>。</w:t>
      </w:r>
    </w:p>
    <w:p w14:paraId="49D97545">
      <w:pPr>
        <w:spacing w:after="0" w:line="240" w:lineRule="auto"/>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lang w:val="en-US" w:eastAsia="zh-CN"/>
        </w:rPr>
        <w:t>.</w:t>
      </w:r>
      <w:r>
        <w:rPr>
          <w:rFonts w:ascii="仿宋_GB2312" w:eastAsia="仿宋_GB2312"/>
          <w:sz w:val="32"/>
          <w:szCs w:val="32"/>
        </w:rPr>
        <w:t>卫生健康支出（类）行政事业单位医疗（款）事业单位医疗（项）：支出决算数为1.88万元，比上年决算增加1.88万元，增长100.00%，主要原因是：</w:t>
      </w:r>
      <w:r>
        <w:rPr>
          <w:rFonts w:hint="eastAsia" w:ascii="仿宋_GB2312" w:eastAsia="仿宋_GB2312"/>
          <w:sz w:val="32"/>
          <w:szCs w:val="32"/>
          <w:lang w:val="en-US" w:eastAsia="zh-CN"/>
        </w:rPr>
        <w:t>本年功能调整，机关事业单位</w:t>
      </w:r>
      <w:r>
        <w:rPr>
          <w:rFonts w:ascii="仿宋_GB2312" w:eastAsia="仿宋_GB2312"/>
          <w:sz w:val="32"/>
          <w:szCs w:val="32"/>
        </w:rPr>
        <w:t>职工基本医疗保险缴费</w:t>
      </w:r>
      <w:r>
        <w:rPr>
          <w:rFonts w:hint="eastAsia" w:ascii="仿宋_GB2312" w:eastAsia="仿宋_GB2312"/>
          <w:sz w:val="32"/>
          <w:szCs w:val="32"/>
          <w:lang w:val="en-US" w:eastAsia="zh-CN"/>
        </w:rPr>
        <w:t>上年度在主科目列支，本年单独列支，导致经费较上年增加</w:t>
      </w:r>
      <w:r>
        <w:rPr>
          <w:rFonts w:ascii="仿宋_GB2312" w:eastAsia="仿宋_GB2312"/>
          <w:sz w:val="32"/>
          <w:szCs w:val="32"/>
        </w:rPr>
        <w:t>。</w:t>
      </w:r>
    </w:p>
    <w:p w14:paraId="0693E6D9">
      <w:pPr>
        <w:spacing w:after="0" w:line="240" w:lineRule="auto"/>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lang w:val="en-US" w:eastAsia="zh-CN"/>
        </w:rPr>
        <w:t>.</w:t>
      </w:r>
      <w:r>
        <w:rPr>
          <w:rFonts w:ascii="仿宋_GB2312" w:eastAsia="仿宋_GB2312"/>
          <w:sz w:val="32"/>
          <w:szCs w:val="32"/>
        </w:rPr>
        <w:t>卫生健康支出（类）行政事业单位医疗（款）公务员医疗补助（项）：支出决算数为1.75万元，比上年决算增加1.75万元，增长100.00%，主要原因是：</w:t>
      </w:r>
      <w:r>
        <w:rPr>
          <w:rFonts w:hint="eastAsia" w:ascii="仿宋_GB2312" w:eastAsia="仿宋_GB2312"/>
          <w:sz w:val="32"/>
          <w:szCs w:val="32"/>
          <w:lang w:val="en-US" w:eastAsia="zh-CN"/>
        </w:rPr>
        <w:t>本年功能调整，机关事业单位</w:t>
      </w:r>
      <w:r>
        <w:rPr>
          <w:rFonts w:ascii="仿宋_GB2312" w:eastAsia="仿宋_GB2312"/>
          <w:sz w:val="32"/>
          <w:szCs w:val="32"/>
        </w:rPr>
        <w:t>公务员医疗补助缴费</w:t>
      </w:r>
      <w:r>
        <w:rPr>
          <w:rFonts w:hint="eastAsia" w:ascii="仿宋_GB2312" w:eastAsia="仿宋_GB2312"/>
          <w:sz w:val="32"/>
          <w:szCs w:val="32"/>
          <w:lang w:val="en-US" w:eastAsia="zh-CN"/>
        </w:rPr>
        <w:t>上年度在主科目列支，本年单独列支，导致经费较上年增加</w:t>
      </w:r>
      <w:r>
        <w:rPr>
          <w:rFonts w:ascii="仿宋_GB2312" w:eastAsia="仿宋_GB2312"/>
          <w:sz w:val="32"/>
          <w:szCs w:val="32"/>
        </w:rPr>
        <w:t>。</w:t>
      </w:r>
    </w:p>
    <w:p w14:paraId="68BDE671">
      <w:pPr>
        <w:spacing w:after="0" w:line="240" w:lineRule="auto"/>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lang w:val="en-US" w:eastAsia="zh-CN"/>
        </w:rPr>
        <w:t>.</w:t>
      </w:r>
      <w:r>
        <w:rPr>
          <w:rFonts w:ascii="仿宋_GB2312" w:eastAsia="仿宋_GB2312"/>
          <w:sz w:val="32"/>
          <w:szCs w:val="32"/>
        </w:rPr>
        <w:t>住房保障支出（类）住房改革支出（款）住房公积金（项）：支出决算数为3.00万元，比上年决算增加3.00万元，增长100.00%，主要原因是：</w:t>
      </w:r>
      <w:r>
        <w:rPr>
          <w:rFonts w:hint="eastAsia" w:ascii="仿宋_GB2312" w:eastAsia="仿宋_GB2312"/>
          <w:sz w:val="32"/>
          <w:szCs w:val="32"/>
          <w:lang w:val="en-US" w:eastAsia="zh-CN"/>
        </w:rPr>
        <w:t>本年功能调整，机关事业单位住房公积金缴费上年度在主科目列支，本年单独列支，导致经费较上年增加</w:t>
      </w:r>
      <w:r>
        <w:rPr>
          <w:rFonts w:ascii="仿宋_GB2312" w:eastAsia="仿宋_GB2312"/>
          <w:sz w:val="32"/>
          <w:szCs w:val="32"/>
        </w:rPr>
        <w:t>。</w:t>
      </w:r>
    </w:p>
    <w:p w14:paraId="44DE6EED">
      <w:pPr>
        <w:spacing w:after="0" w:line="240" w:lineRule="auto"/>
        <w:ind w:firstLine="640" w:firstLineChars="200"/>
        <w:outlineLvl w:val="1"/>
        <w:rPr>
          <w:rFonts w:ascii="黑体" w:eastAsia="黑体"/>
          <w:sz w:val="32"/>
          <w:szCs w:val="32"/>
        </w:rPr>
      </w:pPr>
      <w:r>
        <w:rPr>
          <w:rFonts w:ascii="黑体" w:eastAsia="黑体"/>
          <w:sz w:val="32"/>
          <w:szCs w:val="32"/>
        </w:rPr>
        <w:t>六、一般公共预算财政拨款基本支出决算情况说明</w:t>
      </w:r>
    </w:p>
    <w:p w14:paraId="7B8C2ABC">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一般公共预算财政拨款基本支出788.67万元，其中：人员经费731.95万元，包括：基本工资、津贴补贴、奖金、绩效工资、机关事业单位基本养老保险缴费、职业年金缴费、职工基本医疗保险缴费、公务员医疗补助缴费、其他社会保障缴费、住房公积金、离休费、退休费、抚恤金和其他对个人和家庭的补助。</w:t>
      </w:r>
    </w:p>
    <w:p w14:paraId="3D897C2E">
      <w:pPr>
        <w:spacing w:after="0" w:line="240" w:lineRule="auto"/>
        <w:ind w:firstLine="640" w:firstLineChars="200"/>
        <w:jc w:val="both"/>
        <w:rPr>
          <w:rFonts w:ascii="仿宋_GB2312" w:eastAsia="仿宋_GB2312"/>
          <w:sz w:val="32"/>
          <w:szCs w:val="32"/>
        </w:rPr>
      </w:pPr>
      <w:r>
        <w:rPr>
          <w:rFonts w:ascii="仿宋_GB2312" w:eastAsia="仿宋_GB2312"/>
          <w:sz w:val="32"/>
          <w:szCs w:val="32"/>
        </w:rPr>
        <w:t>公用经费56.72万元，包括：办公费、水费、电费、邮电费、取暖费、工会经费和福利费。</w:t>
      </w:r>
    </w:p>
    <w:p w14:paraId="22056EAC">
      <w:pPr>
        <w:spacing w:after="0" w:line="240" w:lineRule="auto"/>
        <w:ind w:firstLine="640" w:firstLineChars="200"/>
        <w:outlineLvl w:val="1"/>
        <w:rPr>
          <w:rFonts w:ascii="黑体" w:eastAsia="黑体"/>
          <w:sz w:val="32"/>
          <w:szCs w:val="32"/>
        </w:rPr>
      </w:pPr>
      <w:r>
        <w:rPr>
          <w:rFonts w:ascii="黑体" w:eastAsia="黑体"/>
          <w:sz w:val="32"/>
          <w:szCs w:val="32"/>
        </w:rPr>
        <w:t>七、政府性基金预算财政拨款收入支出决算情况说明</w:t>
      </w:r>
    </w:p>
    <w:p w14:paraId="67E57966">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2AE74DFC">
      <w:pPr>
        <w:spacing w:after="0" w:line="240" w:lineRule="auto"/>
        <w:ind w:firstLine="640" w:firstLineChars="200"/>
        <w:outlineLvl w:val="1"/>
        <w:rPr>
          <w:rFonts w:ascii="黑体" w:eastAsia="黑体"/>
          <w:sz w:val="32"/>
          <w:szCs w:val="32"/>
        </w:rPr>
      </w:pPr>
      <w:r>
        <w:rPr>
          <w:rFonts w:ascii="黑体" w:eastAsia="黑体"/>
          <w:sz w:val="32"/>
          <w:szCs w:val="32"/>
        </w:rPr>
        <w:t>八、国有资本经营预算财政拨款收入支出决算情况说明</w:t>
      </w:r>
    </w:p>
    <w:p w14:paraId="3A13FD3E">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666BBCCB">
      <w:pPr>
        <w:spacing w:after="0" w:line="240" w:lineRule="auto"/>
        <w:ind w:firstLine="640" w:firstLineChars="200"/>
        <w:outlineLvl w:val="1"/>
        <w:rPr>
          <w:rFonts w:ascii="黑体" w:eastAsia="黑体"/>
          <w:sz w:val="32"/>
          <w:szCs w:val="32"/>
        </w:rPr>
      </w:pPr>
      <w:r>
        <w:rPr>
          <w:rFonts w:ascii="黑体" w:eastAsia="黑体"/>
          <w:sz w:val="32"/>
          <w:szCs w:val="32"/>
        </w:rPr>
        <w:t>九、财政拨款“三公”经费支出决算情况说明</w:t>
      </w:r>
    </w:p>
    <w:p w14:paraId="48D8C02C">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2025年度财政拨款“三公”经费支出0.00万元，与上年相比无变化，主要原因是：</w:t>
      </w:r>
      <w:r>
        <w:rPr>
          <w:rFonts w:hint="eastAsia" w:ascii="仿宋_GB2312" w:eastAsia="仿宋_GB2312"/>
          <w:sz w:val="32"/>
          <w:szCs w:val="32"/>
          <w:lang w:eastAsia="zh-CN"/>
        </w:rPr>
        <w:t>本单位</w:t>
      </w:r>
      <w:r>
        <w:rPr>
          <w:rFonts w:ascii="仿宋_GB2312" w:eastAsia="仿宋_GB2312"/>
          <w:sz w:val="32"/>
          <w:szCs w:val="32"/>
        </w:rPr>
        <w:t>2024年及2025年均无财政拨款“三公”经费支出。其中：因公出国（境）费用支出0.00万元,占0.00%，与上年相比无变化，主要原因是：</w:t>
      </w:r>
      <w:r>
        <w:rPr>
          <w:rFonts w:hint="eastAsia" w:ascii="仿宋_GB2312" w:eastAsia="仿宋_GB2312"/>
          <w:sz w:val="32"/>
          <w:szCs w:val="32"/>
          <w:lang w:eastAsia="zh-CN"/>
        </w:rPr>
        <w:t>本单位</w:t>
      </w:r>
      <w:r>
        <w:rPr>
          <w:rFonts w:ascii="仿宋_GB2312" w:eastAsia="仿宋_GB2312"/>
          <w:sz w:val="32"/>
          <w:szCs w:val="32"/>
        </w:rPr>
        <w:t>2024年及2025年均未安排因公出国（境）费支出；公务用车购置及运行维护费支出0.00万元，占0.00%，与上年相比无变化，主要原因是：</w:t>
      </w:r>
      <w:r>
        <w:rPr>
          <w:rFonts w:hint="eastAsia" w:ascii="仿宋_GB2312" w:eastAsia="仿宋_GB2312"/>
          <w:sz w:val="32"/>
          <w:szCs w:val="32"/>
          <w:lang w:eastAsia="zh-CN"/>
        </w:rPr>
        <w:t>本单位</w:t>
      </w:r>
      <w:r>
        <w:rPr>
          <w:rFonts w:ascii="仿宋_GB2312" w:eastAsia="仿宋_GB2312"/>
          <w:sz w:val="32"/>
          <w:szCs w:val="32"/>
        </w:rPr>
        <w:t>2024年及2025年均未安排公务用车购置及运行维护费支出；公务接待费支出0.00万元，占0.00%，与上年相比无变化，主要原因是：</w:t>
      </w:r>
      <w:r>
        <w:rPr>
          <w:rFonts w:hint="eastAsia" w:ascii="仿宋_GB2312" w:eastAsia="仿宋_GB2312"/>
          <w:sz w:val="32"/>
          <w:szCs w:val="32"/>
          <w:lang w:eastAsia="zh-CN"/>
        </w:rPr>
        <w:t>本单位</w:t>
      </w:r>
      <w:r>
        <w:rPr>
          <w:rFonts w:ascii="仿宋_GB2312" w:eastAsia="仿宋_GB2312"/>
          <w:sz w:val="32"/>
          <w:szCs w:val="32"/>
        </w:rPr>
        <w:t>2024年及2025年均未安排公务接待费支出。</w:t>
      </w:r>
    </w:p>
    <w:p w14:paraId="58886B3F">
      <w:pPr>
        <w:spacing w:after="0" w:line="240" w:lineRule="auto"/>
        <w:ind w:firstLine="640" w:firstLineChars="200"/>
        <w:rPr>
          <w:rFonts w:ascii="仿宋_GB2312" w:eastAsia="仿宋_GB2312"/>
          <w:sz w:val="32"/>
          <w:szCs w:val="32"/>
        </w:rPr>
      </w:pPr>
      <w:r>
        <w:rPr>
          <w:rFonts w:ascii="仿宋_GB2312" w:eastAsia="仿宋_GB2312"/>
          <w:sz w:val="32"/>
          <w:szCs w:val="32"/>
        </w:rPr>
        <w:t>具体情况如下：</w:t>
      </w:r>
    </w:p>
    <w:p w14:paraId="7A0B01B7">
      <w:pPr>
        <w:spacing w:after="0" w:line="240" w:lineRule="auto"/>
        <w:ind w:firstLine="640" w:firstLineChars="200"/>
        <w:jc w:val="both"/>
        <w:rPr>
          <w:rFonts w:ascii="仿宋_GB2312" w:eastAsia="仿宋_GB2312"/>
          <w:sz w:val="32"/>
          <w:szCs w:val="32"/>
        </w:rPr>
      </w:pPr>
      <w:r>
        <w:rPr>
          <w:rFonts w:ascii="仿宋_GB2312" w:eastAsia="仿宋_GB2312"/>
          <w:sz w:val="32"/>
          <w:szCs w:val="32"/>
        </w:rPr>
        <w:t>因公出国（境）费用0.00万元，开支内容包括</w:t>
      </w:r>
      <w:r>
        <w:rPr>
          <w:rFonts w:hint="eastAsia" w:ascii="仿宋_GB2312" w:eastAsia="仿宋_GB2312"/>
          <w:sz w:val="32"/>
          <w:szCs w:val="32"/>
          <w:lang w:eastAsia="zh-CN"/>
        </w:rPr>
        <w:t>本单位</w:t>
      </w:r>
      <w:r>
        <w:rPr>
          <w:rFonts w:ascii="仿宋_GB2312" w:eastAsia="仿宋_GB2312"/>
          <w:sz w:val="32"/>
          <w:szCs w:val="32"/>
        </w:rPr>
        <w:t>无因公出国（境）费支出。单位全年安排的因公出国（境）团组0个，因公出国（境）0人次。</w:t>
      </w:r>
    </w:p>
    <w:p w14:paraId="4001C890">
      <w:pPr>
        <w:spacing w:after="0" w:line="240" w:lineRule="auto"/>
        <w:ind w:firstLine="640" w:firstLineChars="200"/>
        <w:jc w:val="both"/>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本单位</w:t>
      </w:r>
      <w:r>
        <w:rPr>
          <w:rFonts w:ascii="仿宋_GB2312" w:eastAsia="仿宋_GB2312"/>
          <w:sz w:val="32"/>
          <w:szCs w:val="32"/>
        </w:rPr>
        <w:t>无公务用车运行维护费。公务用车购置数0辆，公务用车保有量0辆。国有资产占用情况中固定资产车辆0辆，与公务用车保有量差异原因是：</w:t>
      </w:r>
      <w:r>
        <w:rPr>
          <w:rFonts w:hint="eastAsia" w:ascii="仿宋_GB2312" w:eastAsia="仿宋_GB2312"/>
          <w:sz w:val="32"/>
          <w:szCs w:val="32"/>
          <w:lang w:val="en-US" w:eastAsia="zh-CN"/>
        </w:rPr>
        <w:t>本单位公务用车保有量与固定资产车辆一致无差异</w:t>
      </w:r>
      <w:r>
        <w:rPr>
          <w:rFonts w:ascii="仿宋_GB2312" w:eastAsia="仿宋_GB2312"/>
          <w:sz w:val="32"/>
          <w:szCs w:val="32"/>
        </w:rPr>
        <w:t>。</w:t>
      </w:r>
    </w:p>
    <w:p w14:paraId="36538158">
      <w:pPr>
        <w:spacing w:after="0" w:line="240" w:lineRule="auto"/>
        <w:ind w:firstLine="640" w:firstLineChars="200"/>
        <w:jc w:val="both"/>
        <w:rPr>
          <w:rFonts w:ascii="仿宋_GB2312" w:eastAsia="仿宋_GB2312"/>
          <w:sz w:val="32"/>
          <w:szCs w:val="32"/>
        </w:rPr>
      </w:pPr>
      <w:r>
        <w:rPr>
          <w:rFonts w:ascii="仿宋_GB2312" w:eastAsia="仿宋_GB2312"/>
          <w:sz w:val="32"/>
          <w:szCs w:val="32"/>
        </w:rPr>
        <w:t>公务接待费0.00万元，开支内容包括</w:t>
      </w:r>
      <w:r>
        <w:rPr>
          <w:rFonts w:hint="eastAsia" w:ascii="仿宋_GB2312" w:eastAsia="仿宋_GB2312"/>
          <w:sz w:val="32"/>
          <w:szCs w:val="32"/>
          <w:lang w:eastAsia="zh-CN"/>
        </w:rPr>
        <w:t>本单位</w:t>
      </w:r>
      <w:r>
        <w:rPr>
          <w:rFonts w:ascii="仿宋_GB2312" w:eastAsia="仿宋_GB2312"/>
          <w:sz w:val="32"/>
          <w:szCs w:val="32"/>
        </w:rPr>
        <w:t>无公务接待费。单位全年安排的国内公务接待0批次，0人次。</w:t>
      </w:r>
    </w:p>
    <w:p w14:paraId="3E51E43F">
      <w:pPr>
        <w:spacing w:after="0" w:line="240" w:lineRule="auto"/>
        <w:ind w:firstLine="640" w:firstLineChars="200"/>
        <w:jc w:val="both"/>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w:t>
      </w:r>
      <w:r>
        <w:rPr>
          <w:rFonts w:hint="eastAsia" w:ascii="仿宋_GB2312" w:eastAsia="仿宋_GB2312"/>
          <w:sz w:val="32"/>
          <w:szCs w:val="32"/>
          <w:lang w:val="en-US" w:eastAsia="zh-CN"/>
        </w:rPr>
        <w:t>本</w:t>
      </w:r>
      <w:r>
        <w:rPr>
          <w:rFonts w:ascii="仿宋_GB2312" w:eastAsia="仿宋_GB2312"/>
          <w:sz w:val="32"/>
          <w:szCs w:val="32"/>
        </w:rPr>
        <w:t>单位无财政拨款“三公”经费支出。其中：因公出国（境）费用全年预算数0.00万元，决算数0.00万元，预决算差异率0.00%，主要原因是：</w:t>
      </w:r>
      <w:r>
        <w:rPr>
          <w:rFonts w:hint="eastAsia" w:ascii="仿宋_GB2312" w:eastAsia="仿宋_GB2312"/>
          <w:sz w:val="32"/>
          <w:szCs w:val="32"/>
          <w:lang w:val="en-US" w:eastAsia="zh-CN"/>
        </w:rPr>
        <w:t>本</w:t>
      </w:r>
      <w:r>
        <w:rPr>
          <w:rFonts w:ascii="仿宋_GB2312" w:eastAsia="仿宋_GB2312"/>
          <w:sz w:val="32"/>
          <w:szCs w:val="32"/>
        </w:rPr>
        <w:t>单位</w:t>
      </w:r>
      <w:r>
        <w:rPr>
          <w:rFonts w:hint="eastAsia" w:ascii="仿宋_GB2312" w:eastAsia="仿宋_GB2312"/>
          <w:sz w:val="32"/>
          <w:szCs w:val="32"/>
          <w:lang w:val="en-US" w:eastAsia="zh-CN"/>
        </w:rPr>
        <w:t>无</w:t>
      </w:r>
      <w:r>
        <w:rPr>
          <w:rFonts w:ascii="仿宋_GB2312" w:eastAsia="仿宋_GB2312"/>
          <w:sz w:val="32"/>
          <w:szCs w:val="32"/>
        </w:rPr>
        <w:t>因公出国（境）费</w:t>
      </w:r>
      <w:r>
        <w:rPr>
          <w:rFonts w:hint="eastAsia" w:ascii="仿宋_GB2312" w:eastAsia="仿宋_GB2312"/>
          <w:sz w:val="32"/>
          <w:szCs w:val="32"/>
          <w:lang w:val="en-US" w:eastAsia="zh-CN"/>
        </w:rPr>
        <w:t>用</w:t>
      </w:r>
      <w:r>
        <w:rPr>
          <w:rFonts w:ascii="仿宋_GB2312" w:eastAsia="仿宋_GB2312"/>
          <w:sz w:val="32"/>
          <w:szCs w:val="32"/>
        </w:rPr>
        <w:t>；公务用车购置费全年预算数0.00万元，决算数0.00万元，预决算差异率0.00%，主要原因是：</w:t>
      </w:r>
      <w:r>
        <w:rPr>
          <w:rFonts w:hint="eastAsia" w:ascii="仿宋_GB2312" w:eastAsia="仿宋_GB2312"/>
          <w:sz w:val="32"/>
          <w:szCs w:val="32"/>
          <w:lang w:val="en-US" w:eastAsia="zh-CN"/>
        </w:rPr>
        <w:t>本</w:t>
      </w:r>
      <w:r>
        <w:rPr>
          <w:rFonts w:ascii="仿宋_GB2312" w:eastAsia="仿宋_GB2312"/>
          <w:sz w:val="32"/>
          <w:szCs w:val="32"/>
        </w:rPr>
        <w:t>单位</w:t>
      </w:r>
      <w:r>
        <w:rPr>
          <w:rFonts w:hint="eastAsia" w:ascii="仿宋_GB2312" w:eastAsia="仿宋_GB2312"/>
          <w:sz w:val="32"/>
          <w:szCs w:val="32"/>
          <w:lang w:val="en-US" w:eastAsia="zh-CN"/>
        </w:rPr>
        <w:t>无</w:t>
      </w:r>
      <w:r>
        <w:rPr>
          <w:rFonts w:ascii="仿宋_GB2312" w:eastAsia="仿宋_GB2312"/>
          <w:sz w:val="32"/>
          <w:szCs w:val="32"/>
        </w:rPr>
        <w:t>公务用车购置</w:t>
      </w:r>
      <w:r>
        <w:rPr>
          <w:rFonts w:hint="eastAsia" w:ascii="仿宋_GB2312" w:eastAsia="仿宋_GB2312"/>
          <w:sz w:val="32"/>
          <w:szCs w:val="32"/>
          <w:lang w:val="en-US" w:eastAsia="zh-CN"/>
        </w:rPr>
        <w:t>费</w:t>
      </w:r>
      <w:r>
        <w:rPr>
          <w:rFonts w:ascii="仿宋_GB2312" w:eastAsia="仿宋_GB2312"/>
          <w:sz w:val="32"/>
          <w:szCs w:val="32"/>
        </w:rPr>
        <w:t>；公务用车运行维护费全年预算数0.00万元，决算数0.00万元，预决算差异率0.00%，主要原因是：</w:t>
      </w:r>
      <w:r>
        <w:rPr>
          <w:rFonts w:hint="eastAsia" w:ascii="仿宋_GB2312" w:eastAsia="仿宋_GB2312"/>
          <w:sz w:val="32"/>
          <w:szCs w:val="32"/>
          <w:lang w:val="en-US" w:eastAsia="zh-CN"/>
        </w:rPr>
        <w:t>本</w:t>
      </w:r>
      <w:r>
        <w:rPr>
          <w:rFonts w:ascii="仿宋_GB2312" w:eastAsia="仿宋_GB2312"/>
          <w:sz w:val="32"/>
          <w:szCs w:val="32"/>
        </w:rPr>
        <w:t>单位</w:t>
      </w:r>
      <w:r>
        <w:rPr>
          <w:rFonts w:hint="eastAsia" w:ascii="仿宋_GB2312" w:eastAsia="仿宋_GB2312"/>
          <w:sz w:val="32"/>
          <w:szCs w:val="32"/>
          <w:lang w:val="en-US" w:eastAsia="zh-CN"/>
        </w:rPr>
        <w:t>无</w:t>
      </w:r>
      <w:r>
        <w:rPr>
          <w:rFonts w:ascii="仿宋_GB2312" w:eastAsia="仿宋_GB2312"/>
          <w:sz w:val="32"/>
          <w:szCs w:val="32"/>
        </w:rPr>
        <w:t>公务用车运行维护费；公务接待费全年预算数0.00万元，决算数0.00万元，预决算差异率0.00%，主要原因是：</w:t>
      </w:r>
      <w:r>
        <w:rPr>
          <w:rFonts w:hint="eastAsia" w:ascii="仿宋_GB2312" w:eastAsia="仿宋_GB2312"/>
          <w:sz w:val="32"/>
          <w:szCs w:val="32"/>
          <w:lang w:val="en-US" w:eastAsia="zh-CN"/>
        </w:rPr>
        <w:t>本</w:t>
      </w:r>
      <w:r>
        <w:rPr>
          <w:rFonts w:ascii="仿宋_GB2312" w:eastAsia="仿宋_GB2312"/>
          <w:sz w:val="32"/>
          <w:szCs w:val="32"/>
        </w:rPr>
        <w:t>单位</w:t>
      </w:r>
      <w:r>
        <w:rPr>
          <w:rFonts w:hint="eastAsia" w:ascii="仿宋_GB2312" w:eastAsia="仿宋_GB2312"/>
          <w:sz w:val="32"/>
          <w:szCs w:val="32"/>
          <w:lang w:val="en-US" w:eastAsia="zh-CN"/>
        </w:rPr>
        <w:t>无</w:t>
      </w:r>
      <w:r>
        <w:rPr>
          <w:rFonts w:ascii="仿宋_GB2312" w:eastAsia="仿宋_GB2312"/>
          <w:sz w:val="32"/>
          <w:szCs w:val="32"/>
        </w:rPr>
        <w:t>公务接待费。</w:t>
      </w:r>
    </w:p>
    <w:p w14:paraId="768221F2">
      <w:pPr>
        <w:spacing w:after="0" w:line="240" w:lineRule="auto"/>
        <w:ind w:firstLine="640" w:firstLineChars="200"/>
        <w:outlineLvl w:val="1"/>
        <w:rPr>
          <w:rFonts w:ascii="黑体" w:eastAsia="黑体"/>
          <w:sz w:val="32"/>
          <w:szCs w:val="32"/>
        </w:rPr>
      </w:pPr>
      <w:r>
        <w:rPr>
          <w:rFonts w:ascii="黑体" w:eastAsia="黑体"/>
          <w:sz w:val="32"/>
          <w:szCs w:val="32"/>
        </w:rPr>
        <w:t>十、其他重要事项的情况说明</w:t>
      </w:r>
    </w:p>
    <w:p w14:paraId="7DBB6753">
      <w:pPr>
        <w:spacing w:after="0" w:line="240" w:lineRule="auto"/>
        <w:ind w:firstLine="640" w:firstLineChars="200"/>
        <w:outlineLvl w:val="2"/>
        <w:rPr>
          <w:rFonts w:ascii="黑体" w:eastAsia="黑体"/>
          <w:sz w:val="32"/>
          <w:szCs w:val="32"/>
        </w:rPr>
      </w:pPr>
      <w:r>
        <w:rPr>
          <w:rFonts w:ascii="黑体" w:eastAsia="黑体"/>
          <w:sz w:val="32"/>
          <w:szCs w:val="32"/>
        </w:rPr>
        <w:t>（一）机关运行经费及公用经费支出情况</w:t>
      </w:r>
    </w:p>
    <w:p w14:paraId="157CE336">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2025年度新疆维吾尔自治区煤炭科学研究所（事业单位）公用经费支出56.72万元，比上年增加7.53万元，增长15.31%，主要原因是：取暖费增加导致公用经费增加。</w:t>
      </w:r>
    </w:p>
    <w:p w14:paraId="47C7AEA1">
      <w:pPr>
        <w:spacing w:after="0" w:line="240" w:lineRule="auto"/>
        <w:ind w:firstLine="640" w:firstLineChars="200"/>
        <w:outlineLvl w:val="2"/>
        <w:rPr>
          <w:rFonts w:ascii="黑体" w:eastAsia="黑体"/>
          <w:sz w:val="32"/>
          <w:szCs w:val="32"/>
        </w:rPr>
      </w:pPr>
      <w:r>
        <w:rPr>
          <w:rFonts w:ascii="黑体" w:eastAsia="黑体"/>
          <w:sz w:val="32"/>
          <w:szCs w:val="32"/>
        </w:rPr>
        <w:t>（二）政府采购情况</w:t>
      </w:r>
    </w:p>
    <w:p w14:paraId="0F3AE5FD">
      <w:pPr>
        <w:spacing w:after="0" w:line="240" w:lineRule="auto"/>
        <w:ind w:firstLine="640" w:firstLineChars="200"/>
        <w:jc w:val="both"/>
        <w:rPr>
          <w:rFonts w:ascii="仿宋_GB2312" w:eastAsia="仿宋_GB2312"/>
          <w:sz w:val="32"/>
          <w:szCs w:val="32"/>
        </w:rPr>
      </w:pPr>
      <w:r>
        <w:rPr>
          <w:rFonts w:ascii="仿宋_GB2312" w:eastAsia="仿宋_GB2312"/>
          <w:sz w:val="32"/>
          <w:szCs w:val="32"/>
        </w:rPr>
        <w:t>2025年度政府采购支出总额57.35万元，其中：政府采购货物支出57.35万元、政府采购工程支出0.00万元、政府采购服务支出0.00万元。</w:t>
      </w:r>
    </w:p>
    <w:p w14:paraId="407FC35E">
      <w:pPr>
        <w:spacing w:after="0" w:line="240" w:lineRule="auto"/>
        <w:ind w:firstLine="640" w:firstLineChars="200"/>
        <w:jc w:val="both"/>
        <w:rPr>
          <w:rFonts w:ascii="仿宋_GB2312" w:eastAsia="仿宋_GB2312"/>
          <w:sz w:val="32"/>
          <w:szCs w:val="32"/>
        </w:rPr>
      </w:pPr>
      <w:r>
        <w:rPr>
          <w:rFonts w:ascii="仿宋_GB2312" w:eastAsia="仿宋_GB2312"/>
          <w:sz w:val="32"/>
          <w:szCs w:val="32"/>
        </w:rPr>
        <w:t>授予中小企业合同金额57.35万元，占政府采购支出总额的100.00%，其中：授予小微企业合同金额57.35万元，占政府采购支出总额的100.00%。</w:t>
      </w:r>
    </w:p>
    <w:p w14:paraId="6F35ADD4">
      <w:pPr>
        <w:spacing w:after="0" w:line="240" w:lineRule="auto"/>
        <w:ind w:firstLine="640" w:firstLineChars="200"/>
        <w:outlineLvl w:val="2"/>
        <w:rPr>
          <w:rFonts w:ascii="黑体" w:eastAsia="黑体"/>
          <w:sz w:val="32"/>
          <w:szCs w:val="32"/>
        </w:rPr>
      </w:pPr>
      <w:r>
        <w:rPr>
          <w:rFonts w:ascii="黑体" w:eastAsia="黑体"/>
          <w:sz w:val="32"/>
          <w:szCs w:val="32"/>
        </w:rPr>
        <w:t>（三）国有资产占用情况说明</w:t>
      </w:r>
    </w:p>
    <w:p w14:paraId="734CEEC3">
      <w:pPr>
        <w:spacing w:after="0" w:line="240" w:lineRule="auto"/>
        <w:ind w:firstLine="640" w:firstLineChars="200"/>
        <w:jc w:val="both"/>
        <w:rPr>
          <w:rFonts w:ascii="仿宋_GB2312" w:eastAsia="仿宋_GB2312"/>
          <w:sz w:val="32"/>
          <w:szCs w:val="32"/>
        </w:rPr>
      </w:pPr>
      <w:r>
        <w:rPr>
          <w:rFonts w:ascii="仿宋_GB2312" w:eastAsia="仿宋_GB2312"/>
          <w:sz w:val="32"/>
          <w:szCs w:val="32"/>
        </w:rPr>
        <w:t>截至2025年12月31日，房屋5,467.09平方米，价值186.42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本单位</w:t>
      </w:r>
      <w:r>
        <w:rPr>
          <w:rFonts w:ascii="仿宋_GB2312" w:eastAsia="仿宋_GB2312"/>
          <w:sz w:val="32"/>
          <w:szCs w:val="32"/>
        </w:rPr>
        <w:t>无其他用车;单价100万元（含）以上设备（不含车辆）0台（套）。</w:t>
      </w:r>
    </w:p>
    <w:p w14:paraId="5ACF5204">
      <w:pPr>
        <w:spacing w:after="0" w:line="240" w:lineRule="auto"/>
        <w:ind w:firstLine="640" w:firstLineChars="200"/>
        <w:outlineLvl w:val="1"/>
        <w:rPr>
          <w:rFonts w:ascii="黑体" w:eastAsia="黑体"/>
          <w:sz w:val="32"/>
          <w:szCs w:val="32"/>
        </w:rPr>
      </w:pPr>
      <w:r>
        <w:rPr>
          <w:rFonts w:ascii="黑体" w:eastAsia="黑体"/>
          <w:sz w:val="32"/>
          <w:szCs w:val="32"/>
        </w:rPr>
        <w:t>十一、预算绩效的情况说明</w:t>
      </w:r>
    </w:p>
    <w:p w14:paraId="66A64CF3">
      <w:pPr>
        <w:spacing w:after="0" w:line="240" w:lineRule="auto"/>
        <w:ind w:firstLine="640" w:firstLineChars="200"/>
        <w:jc w:val="both"/>
        <w:rPr>
          <w:rFonts w:ascii="仿宋_GB2312" w:eastAsia="仿宋_GB2312"/>
          <w:sz w:val="32"/>
          <w:szCs w:val="32"/>
        </w:rPr>
      </w:pPr>
      <w:r>
        <w:rPr>
          <w:rFonts w:ascii="仿宋_GB2312" w:eastAsia="仿宋_GB2312"/>
          <w:sz w:val="32"/>
          <w:szCs w:val="32"/>
        </w:rPr>
        <w:t>根据预算绩效管理要求，本单位2025年度预算绩效评价项目1个，全年预算数800.00万元，全年执行数800.00万元。预算绩效管理取得的成效：一是健全绩效管理工作机制，明确职责分工</w:t>
      </w:r>
      <w:r>
        <w:rPr>
          <w:rFonts w:hint="eastAsia" w:ascii="仿宋_GB2312" w:eastAsia="仿宋_GB2312"/>
          <w:sz w:val="32"/>
          <w:szCs w:val="32"/>
          <w:lang w:eastAsia="zh-CN"/>
        </w:rPr>
        <w:t>；</w:t>
      </w:r>
      <w:r>
        <w:rPr>
          <w:rFonts w:ascii="仿宋_GB2312" w:eastAsia="仿宋_GB2312"/>
          <w:sz w:val="32"/>
          <w:szCs w:val="32"/>
        </w:rPr>
        <w:t>二是做好事前目标绩效编制并及时报送。发现的问题及原因：一是预算编制准确度不足，导致执行进度慢</w:t>
      </w:r>
      <w:r>
        <w:rPr>
          <w:rFonts w:hint="eastAsia" w:ascii="仿宋_GB2312" w:eastAsia="仿宋_GB2312"/>
          <w:sz w:val="32"/>
          <w:szCs w:val="32"/>
          <w:lang w:eastAsia="zh-CN"/>
        </w:rPr>
        <w:t>；</w:t>
      </w:r>
      <w:r>
        <w:rPr>
          <w:rFonts w:ascii="仿宋_GB2312" w:eastAsia="仿宋_GB2312"/>
          <w:sz w:val="32"/>
          <w:szCs w:val="32"/>
        </w:rPr>
        <w:t>二是绩效管理与年度预算编制结合不够紧密。下一步改进措施：一是推进零基预算改革</w:t>
      </w:r>
      <w:r>
        <w:rPr>
          <w:rFonts w:hint="eastAsia" w:ascii="仿宋_GB2312" w:eastAsia="仿宋_GB2312"/>
          <w:sz w:val="32"/>
          <w:szCs w:val="32"/>
          <w:lang w:eastAsia="zh-CN"/>
        </w:rPr>
        <w:t>；</w:t>
      </w:r>
      <w:r>
        <w:rPr>
          <w:rFonts w:ascii="仿宋_GB2312" w:eastAsia="仿宋_GB2312"/>
          <w:sz w:val="32"/>
          <w:szCs w:val="32"/>
        </w:rPr>
        <w:t>二是强化预算绩效管理</w:t>
      </w:r>
      <w:r>
        <w:rPr>
          <w:rFonts w:hint="eastAsia" w:ascii="仿宋_GB2312" w:eastAsia="仿宋_GB2312"/>
          <w:sz w:val="32"/>
          <w:szCs w:val="32"/>
          <w:lang w:eastAsia="zh-CN"/>
        </w:rPr>
        <w:t>；</w:t>
      </w:r>
      <w:r>
        <w:rPr>
          <w:rFonts w:ascii="仿宋_GB2312" w:eastAsia="仿宋_GB2312"/>
          <w:sz w:val="32"/>
          <w:szCs w:val="32"/>
        </w:rPr>
        <w:t>三是抓好资产管理。具体附项目支出绩效自评表。</w:t>
      </w:r>
    </w:p>
    <w:p w14:paraId="616B0D87">
      <w:pPr>
        <w:spacing w:after="0" w:line="240" w:lineRule="auto"/>
        <w:ind w:firstLine="640" w:firstLineChars="200"/>
        <w:rPr>
          <w:rFonts w:ascii="黑体" w:eastAsia="黑体"/>
          <w:sz w:val="32"/>
          <w:szCs w:val="32"/>
        </w:rPr>
      </w:pPr>
      <w:r>
        <w:rPr>
          <w:rFonts w:ascii="黑体" w:eastAsia="黑体"/>
          <w:sz w:val="32"/>
          <w:szCs w:val="32"/>
        </w:rPr>
        <w:t>十二、其他需说明的事项</w:t>
      </w:r>
    </w:p>
    <w:p w14:paraId="1D55ADAA">
      <w:pPr>
        <w:spacing w:after="0" w:line="240" w:lineRule="auto"/>
        <w:ind w:firstLine="640" w:firstLineChars="200"/>
        <w:jc w:val="both"/>
        <w:rPr>
          <w:rFonts w:ascii="仿宋_GB2312" w:eastAsia="仿宋_GB2312"/>
          <w:sz w:val="32"/>
          <w:szCs w:val="32"/>
        </w:rPr>
      </w:pPr>
      <w:r>
        <w:rPr>
          <w:rFonts w:ascii="仿宋_GB2312" w:eastAsia="仿宋_GB2312"/>
          <w:sz w:val="32"/>
          <w:szCs w:val="32"/>
        </w:rPr>
        <w:t>本单位无其他需说明事项。</w:t>
      </w:r>
    </w:p>
    <w:p w14:paraId="7CDE09FE">
      <w:pPr>
        <w:spacing w:after="0" w:line="240" w:lineRule="auto"/>
        <w:ind w:firstLine="640" w:firstLineChars="200"/>
        <w:rPr>
          <w:rFonts w:ascii="仿宋_GB2312" w:eastAsia="仿宋_GB2312"/>
          <w:sz w:val="32"/>
          <w:szCs w:val="32"/>
        </w:rPr>
      </w:pPr>
    </w:p>
    <w:p w14:paraId="131D5AA3">
      <w:r>
        <w:rPr>
          <w:sz w:val="0"/>
          <w:szCs w:val="0"/>
        </w:rPr>
        <w:br w:type="page"/>
      </w:r>
    </w:p>
    <w:p w14:paraId="6D2D7F67">
      <w:pPr>
        <w:spacing w:after="0" w:line="240" w:lineRule="auto"/>
        <w:jc w:val="center"/>
        <w:outlineLvl w:val="0"/>
        <w:rPr>
          <w:rFonts w:ascii="黑体" w:eastAsia="黑体"/>
          <w:sz w:val="32"/>
          <w:szCs w:val="32"/>
        </w:rPr>
      </w:pPr>
      <w:r>
        <w:rPr>
          <w:rFonts w:ascii="黑体" w:eastAsia="黑体"/>
          <w:sz w:val="32"/>
          <w:szCs w:val="32"/>
        </w:rPr>
        <w:t>第三部分 专业名词解释</w:t>
      </w:r>
    </w:p>
    <w:p w14:paraId="4C60193A">
      <w:pPr>
        <w:spacing w:after="0" w:line="240" w:lineRule="auto"/>
        <w:ind w:firstLine="643" w:firstLineChars="200"/>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指单位本年度从同级财政部门取得的财政拨款，包括一般公共预算财政拨款、政府性基金预算财政拨款和国有资本经营预算财政拨款。</w:t>
      </w:r>
    </w:p>
    <w:p w14:paraId="3DDE8AE5">
      <w:pPr>
        <w:spacing w:after="0" w:line="240" w:lineRule="auto"/>
        <w:ind w:firstLine="643" w:firstLineChars="200"/>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45D7E8B4">
      <w:pPr>
        <w:spacing w:after="0" w:line="240" w:lineRule="auto"/>
        <w:ind w:firstLine="643" w:firstLineChars="200"/>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指事业单位开展专业业务活动及其辅助活动取得的收入。</w:t>
      </w:r>
    </w:p>
    <w:p w14:paraId="565E5A94">
      <w:pPr>
        <w:spacing w:after="0" w:line="240" w:lineRule="auto"/>
        <w:ind w:firstLine="643" w:firstLineChars="200"/>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1C32702C">
      <w:pPr>
        <w:spacing w:after="0" w:line="240" w:lineRule="auto"/>
        <w:ind w:firstLine="643" w:firstLineChars="200"/>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指事业单位附属独立核算单位按照有关规定上缴的收入。</w:t>
      </w:r>
    </w:p>
    <w:p w14:paraId="12480DD2">
      <w:pPr>
        <w:spacing w:after="0" w:line="240" w:lineRule="auto"/>
        <w:ind w:firstLine="643" w:firstLineChars="200"/>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指单位取得的除上述“财政拨款收入”“上级补助收入”“事业收入”“经营收入”“附属单位上缴收入”以外的各项收入。</w:t>
      </w:r>
    </w:p>
    <w:p w14:paraId="06FAD735">
      <w:pPr>
        <w:spacing w:after="0" w:line="240" w:lineRule="auto"/>
        <w:ind w:firstLine="643" w:firstLineChars="200"/>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指单位上年结转本年使用的基本支出结转、项目支出结转和结余、经营结余。</w:t>
      </w:r>
    </w:p>
    <w:p w14:paraId="61489222">
      <w:pPr>
        <w:spacing w:after="0" w:line="240" w:lineRule="auto"/>
        <w:ind w:firstLine="643" w:firstLineChars="200"/>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sz w:val="32"/>
          <w:szCs w:val="32"/>
        </w:rPr>
        <w:t>指单位按照预算管理要求使用非财政拨款结余弥补收支差额的金额，以及使用专用结余安排支出的金额。</w:t>
      </w:r>
    </w:p>
    <w:p w14:paraId="1F3109F5">
      <w:pPr>
        <w:spacing w:after="0" w:line="240" w:lineRule="auto"/>
        <w:ind w:firstLine="643" w:firstLineChars="200"/>
        <w:rPr>
          <w:rFonts w:ascii="仿宋_GB2312" w:eastAsia="仿宋_GB2312"/>
          <w:sz w:val="32"/>
          <w:szCs w:val="32"/>
        </w:rPr>
      </w:pPr>
      <w:r>
        <w:rPr>
          <w:rFonts w:ascii="仿宋_GB2312" w:eastAsia="仿宋_GB2312"/>
          <w:b/>
          <w:sz w:val="32"/>
          <w:szCs w:val="32"/>
        </w:rPr>
        <w:t>九、结余分配</w:t>
      </w:r>
      <w:r>
        <w:rPr>
          <w:rFonts w:ascii="仿宋_GB2312" w:eastAsia="仿宋_GB2312"/>
          <w:sz w:val="32"/>
          <w:szCs w:val="32"/>
        </w:rPr>
        <w:t>：指单位缴纳企业所得税以及从非财政拨款结余或经营结余中提取各类结余的情况。</w:t>
      </w:r>
    </w:p>
    <w:p w14:paraId="5CD7884F">
      <w:pPr>
        <w:spacing w:after="0" w:line="240" w:lineRule="auto"/>
        <w:ind w:firstLine="643" w:firstLineChars="200"/>
        <w:rPr>
          <w:rFonts w:ascii="仿宋_GB2312" w:eastAsia="仿宋_GB2312"/>
          <w:sz w:val="32"/>
          <w:szCs w:val="32"/>
        </w:rPr>
      </w:pPr>
      <w:r>
        <w:rPr>
          <w:rFonts w:ascii="仿宋_GB2312" w:eastAsia="仿宋_GB2312"/>
          <w:b/>
          <w:sz w:val="32"/>
          <w:szCs w:val="32"/>
        </w:rPr>
        <w:t>十、年末结转和结余</w:t>
      </w:r>
      <w:r>
        <w:rPr>
          <w:rFonts w:ascii="仿宋_GB2312" w:eastAsia="仿宋_GB2312"/>
          <w:sz w:val="32"/>
          <w:szCs w:val="32"/>
        </w:rPr>
        <w:t>：指单位结转下年的基本支出结转、项目支出结转和结余、经营结余。</w:t>
      </w:r>
    </w:p>
    <w:p w14:paraId="6A9CC66F">
      <w:pPr>
        <w:spacing w:after="0" w:line="240" w:lineRule="auto"/>
        <w:ind w:firstLine="643" w:firstLineChars="200"/>
        <w:rPr>
          <w:rFonts w:ascii="仿宋_GB2312" w:eastAsia="仿宋_GB2312"/>
          <w:sz w:val="32"/>
          <w:szCs w:val="32"/>
        </w:rPr>
      </w:pPr>
      <w:r>
        <w:rPr>
          <w:rFonts w:ascii="仿宋_GB2312" w:eastAsia="仿宋_GB2312"/>
          <w:b/>
          <w:sz w:val="32"/>
          <w:szCs w:val="32"/>
        </w:rPr>
        <w:t>十一、基本支出</w:t>
      </w:r>
      <w:r>
        <w:rPr>
          <w:rFonts w:ascii="仿宋_GB2312" w:eastAsia="仿宋_GB2312"/>
          <w:sz w:val="32"/>
          <w:szCs w:val="32"/>
        </w:rPr>
        <w:t>：指单位为保障机构正常运转、完成日常工作任务而发生的各项支出。</w:t>
      </w:r>
    </w:p>
    <w:p w14:paraId="5C52F528">
      <w:pPr>
        <w:spacing w:after="0" w:line="240" w:lineRule="auto"/>
        <w:ind w:firstLine="643" w:firstLineChars="200"/>
        <w:rPr>
          <w:rFonts w:ascii="仿宋_GB2312" w:eastAsia="仿宋_GB2312"/>
          <w:sz w:val="32"/>
          <w:szCs w:val="32"/>
        </w:rPr>
      </w:pPr>
      <w:r>
        <w:rPr>
          <w:rFonts w:ascii="仿宋_GB2312" w:eastAsia="仿宋_GB2312"/>
          <w:b/>
          <w:sz w:val="32"/>
          <w:szCs w:val="32"/>
        </w:rPr>
        <w:t>十二、项目支出：</w:t>
      </w:r>
      <w:r>
        <w:rPr>
          <w:rFonts w:ascii="仿宋_GB2312" w:eastAsia="仿宋_GB2312"/>
          <w:sz w:val="32"/>
          <w:szCs w:val="32"/>
        </w:rPr>
        <w:t>指单位为完成特定的行政工作任务或事业发展目标，在基本支出之外发生的各项支出。</w:t>
      </w:r>
    </w:p>
    <w:p w14:paraId="2BE42CCC">
      <w:pPr>
        <w:spacing w:after="0" w:line="240" w:lineRule="auto"/>
        <w:ind w:firstLine="643" w:firstLineChars="200"/>
        <w:rPr>
          <w:rFonts w:ascii="仿宋_GB2312" w:eastAsia="仿宋_GB2312"/>
          <w:sz w:val="32"/>
          <w:szCs w:val="32"/>
        </w:rPr>
      </w:pPr>
      <w:r>
        <w:rPr>
          <w:rFonts w:ascii="仿宋_GB2312" w:eastAsia="仿宋_GB2312"/>
          <w:b/>
          <w:sz w:val="32"/>
          <w:szCs w:val="32"/>
        </w:rPr>
        <w:t>十三、上缴上级支出：</w:t>
      </w:r>
      <w:r>
        <w:rPr>
          <w:rFonts w:ascii="仿宋_GB2312" w:eastAsia="仿宋_GB2312"/>
          <w:sz w:val="32"/>
          <w:szCs w:val="32"/>
        </w:rPr>
        <w:t>指事业单位按照财政部门和主管部门的规定上缴上级单位的支出。</w:t>
      </w:r>
    </w:p>
    <w:p w14:paraId="02978DF3">
      <w:pPr>
        <w:spacing w:after="0" w:line="240" w:lineRule="auto"/>
        <w:ind w:firstLine="643" w:firstLineChars="200"/>
        <w:rPr>
          <w:rFonts w:ascii="仿宋_GB2312" w:eastAsia="仿宋_GB2312"/>
          <w:sz w:val="32"/>
          <w:szCs w:val="32"/>
        </w:rPr>
      </w:pPr>
      <w:r>
        <w:rPr>
          <w:rFonts w:ascii="仿宋_GB2312" w:eastAsia="仿宋_GB2312"/>
          <w:b/>
          <w:sz w:val="32"/>
          <w:szCs w:val="32"/>
        </w:rPr>
        <w:t>十四、经营支出：</w:t>
      </w:r>
      <w:r>
        <w:rPr>
          <w:rFonts w:ascii="仿宋_GB2312" w:eastAsia="仿宋_GB2312"/>
          <w:sz w:val="32"/>
          <w:szCs w:val="32"/>
        </w:rPr>
        <w:t>指事业单位在专业活动及辅助活动之外开展非独立核算经营活动发生的支出。</w:t>
      </w:r>
    </w:p>
    <w:p w14:paraId="042B5B68">
      <w:pPr>
        <w:spacing w:after="0" w:line="240" w:lineRule="auto"/>
        <w:ind w:firstLine="643" w:firstLineChars="200"/>
        <w:rPr>
          <w:rFonts w:ascii="宋体" w:eastAsia="仿宋_GB2312"/>
          <w:sz w:val="32"/>
          <w:szCs w:val="32"/>
        </w:rPr>
      </w:pPr>
      <w:r>
        <w:rPr>
          <w:rFonts w:ascii="宋体" w:eastAsia="仿宋_GB2312"/>
          <w:b/>
          <w:sz w:val="32"/>
          <w:szCs w:val="32"/>
        </w:rPr>
        <w:t>十五、对附属单位补助支出：</w:t>
      </w:r>
      <w:r>
        <w:rPr>
          <w:rFonts w:ascii="宋体" w:eastAsia="仿宋_GB2312"/>
          <w:sz w:val="32"/>
          <w:szCs w:val="32"/>
        </w:rPr>
        <w:t>指事业单位用财政补助收入之外的收入对附属单位补助发生的支出。</w:t>
      </w:r>
    </w:p>
    <w:p w14:paraId="3188FB79">
      <w:pPr>
        <w:spacing w:after="0" w:line="240" w:lineRule="auto"/>
        <w:ind w:firstLine="643" w:firstLineChars="200"/>
        <w:rPr>
          <w:rFonts w:ascii="仿宋_GB2312" w:eastAsia="仿宋_GB2312"/>
          <w:sz w:val="32"/>
          <w:szCs w:val="32"/>
        </w:rPr>
      </w:pPr>
      <w:r>
        <w:rPr>
          <w:rFonts w:ascii="仿宋_GB2312" w:eastAsia="仿宋_GB2312"/>
          <w:b/>
          <w:sz w:val="32"/>
          <w:szCs w:val="32"/>
        </w:rPr>
        <w:t>十六、“三公”经费：</w:t>
      </w:r>
      <w:r>
        <w:rPr>
          <w:rFonts w:ascii="仿宋_GB2312" w:eastAsia="仿宋_GB2312"/>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B450E6C">
      <w:pPr>
        <w:spacing w:after="0" w:line="240" w:lineRule="auto"/>
        <w:ind w:firstLine="643" w:firstLineChars="200"/>
        <w:rPr>
          <w:rFonts w:ascii="仿宋_GB2312" w:eastAsia="仿宋_GB2312"/>
          <w:sz w:val="32"/>
          <w:szCs w:val="32"/>
        </w:rPr>
      </w:pPr>
      <w:r>
        <w:rPr>
          <w:rFonts w:ascii="仿宋_GB2312" w:eastAsia="仿宋_GB2312"/>
          <w:b/>
          <w:sz w:val="32"/>
          <w:szCs w:val="32"/>
        </w:rPr>
        <w:t>十七、机关运行经费：</w:t>
      </w:r>
      <w:r>
        <w:rPr>
          <w:rFonts w:ascii="仿宋_GB2312" w:eastAsia="仿宋_GB2312"/>
          <w:sz w:val="32"/>
          <w:szCs w:val="32"/>
        </w:rPr>
        <w:t>指行政单位和参照公务员法管理的事业单位财政拨款基本支出中的公用经费支出。</w:t>
      </w:r>
    </w:p>
    <w:p w14:paraId="5A935449">
      <w:r>
        <w:rPr>
          <w:sz w:val="0"/>
          <w:szCs w:val="0"/>
        </w:rPr>
        <w:br w:type="page"/>
      </w:r>
    </w:p>
    <w:p w14:paraId="0189859A">
      <w:pPr>
        <w:spacing w:after="0" w:line="240" w:lineRule="auto"/>
        <w:jc w:val="center"/>
        <w:outlineLvl w:val="0"/>
        <w:rPr>
          <w:rFonts w:ascii="黑体" w:eastAsia="黑体"/>
          <w:sz w:val="32"/>
          <w:szCs w:val="32"/>
        </w:rPr>
      </w:pPr>
      <w:r>
        <w:rPr>
          <w:rFonts w:ascii="黑体" w:eastAsia="黑体"/>
          <w:sz w:val="32"/>
          <w:szCs w:val="32"/>
        </w:rPr>
        <w:t>第四部分 部门决算报表（见附表）</w:t>
      </w:r>
    </w:p>
    <w:p w14:paraId="5DB48232">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一、《收入支出决算总表》</w:t>
      </w:r>
    </w:p>
    <w:p w14:paraId="3BC2DB88">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二、《收入决算表》</w:t>
      </w:r>
    </w:p>
    <w:p w14:paraId="74E816D3">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三、《支出决算表》</w:t>
      </w:r>
    </w:p>
    <w:p w14:paraId="625DE39A">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四、《财政拨款收入支出决算总表》</w:t>
      </w:r>
    </w:p>
    <w:p w14:paraId="06E66B80">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五、《一般公共预算财政拨款支出决算表》</w:t>
      </w:r>
    </w:p>
    <w:p w14:paraId="3ABCFEC9">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六、《一般公共预算财政拨款基本支出决算表》</w:t>
      </w:r>
    </w:p>
    <w:p w14:paraId="1866B86B">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七、《政府性基金预算财政拨款收入支出决算表》</w:t>
      </w:r>
    </w:p>
    <w:p w14:paraId="142BBEA4">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70035FD5">
      <w:pPr>
        <w:spacing w:after="0" w:line="240" w:lineRule="auto"/>
        <w:ind w:firstLine="640" w:firstLineChars="200"/>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roman"/>
    <w:pitch w:val="default"/>
    <w:sig w:usb0="A00002BF" w:usb1="38CF7CFA" w:usb2="00000016" w:usb3="00000000" w:csb0="0004000F" w:csb1="00000000"/>
  </w:font>
  <w:font w:name="仿宋_GB2312">
    <w:panose1 w:val="02010609030101010101"/>
    <w:charset w:val="86"/>
    <w:family w:val="roma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F1078E"/>
    <w:rsid w:val="00183A65"/>
    <w:rsid w:val="00633716"/>
    <w:rsid w:val="009327BE"/>
    <w:rsid w:val="00F1078E"/>
    <w:rsid w:val="056C6A6C"/>
    <w:rsid w:val="090F3A8E"/>
    <w:rsid w:val="0AFE0E26"/>
    <w:rsid w:val="0F0F457F"/>
    <w:rsid w:val="16C27A19"/>
    <w:rsid w:val="18F1049A"/>
    <w:rsid w:val="1E94203E"/>
    <w:rsid w:val="1FEE57E1"/>
    <w:rsid w:val="225F7BE5"/>
    <w:rsid w:val="24194AC2"/>
    <w:rsid w:val="2C22587A"/>
    <w:rsid w:val="2C3167C0"/>
    <w:rsid w:val="38E34227"/>
    <w:rsid w:val="41C41AC6"/>
    <w:rsid w:val="443A297F"/>
    <w:rsid w:val="46341475"/>
    <w:rsid w:val="546E473E"/>
    <w:rsid w:val="590A7066"/>
    <w:rsid w:val="635D096B"/>
    <w:rsid w:val="63932C90"/>
    <w:rsid w:val="6A936D2C"/>
    <w:rsid w:val="6E793591"/>
    <w:rsid w:val="74D77CB0"/>
    <w:rsid w:val="77EC36A6"/>
    <w:rsid w:val="7C851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E75B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0">
    <w:name w:val="标题 3 字符"/>
    <w:basedOn w:val="14"/>
    <w:link w:val="4"/>
    <w:qFormat/>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1">
    <w:name w:val="标题 4 字符"/>
    <w:basedOn w:val="14"/>
    <w:link w:val="5"/>
    <w:qFormat/>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2">
    <w:name w:val="副标题 字符"/>
    <w:basedOn w:val="14"/>
    <w:link w:val="10"/>
    <w:qFormat/>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3">
    <w:name w:val="标题 字符"/>
    <w:basedOn w:val="14"/>
    <w:link w:val="11"/>
    <w:qFormat/>
    <w:uiPriority w:val="10"/>
    <w:rPr>
      <w:rFonts w:asciiTheme="majorHAnsi" w:hAnsiTheme="majorHAnsi" w:eastAsiaTheme="majorEastAsia" w:cstheme="majorBidi"/>
      <w:color w:val="333F50"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xb21cn</Company>
  <Pages>13</Pages>
  <Words>5461</Words>
  <Characters>6068</Characters>
  <Lines>42</Lines>
  <Paragraphs>11</Paragraphs>
  <TotalTime>4</TotalTime>
  <ScaleCrop>false</ScaleCrop>
  <LinksUpToDate>false</LinksUpToDate>
  <CharactersWithSpaces>6075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2026-08-19T03:01:00Z</dcterms:created>
  <dc:creator>cws</dc:creator>
  <cp:lastModifiedBy>雨。</cp:lastModifiedBy>
  <dcterms:modified xsi:type="dcterms:W3CDTF">2026-08-29T12:04:39Z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0C504BD052834680ACFFBE0F52BD7C65_13</vt:lpwstr>
  </property>
  <property fmtid="{D5CDD505-2E9C-101B-9397-08002B2CF9AE}" pid="4" name="KSOTemplateDocerSaveRecord">
    <vt:lpwstr>eyJoZGlkIjoiYTZjZThjMDFjYjU0NDRjYWE1YjFlZmFjNmU0NDBiYTgiLCJ1c2VySWQiOiI0NjExNzA3OTgifQ==</vt:lpwstr>
  </property>
</Properties>
</file>