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270F2">
      <w:pPr>
        <w:widowControl/>
        <w:spacing w:before="0" w:beforeLines="0" w:beforeAutospacing="0" w:after="0" w:afterLines="0" w:afterAutospacing="0" w:line="240" w:lineRule="auto"/>
        <w:jc w:val="left"/>
        <w:rPr>
          <w:rFonts w:ascii="宋体" w:eastAsia="宋体"/>
          <w:sz w:val="32"/>
          <w:szCs w:val="32"/>
        </w:rPr>
      </w:pPr>
    </w:p>
    <w:p w14:paraId="4CB37AF9">
      <w:pPr>
        <w:widowControl/>
        <w:spacing w:before="0" w:beforeLines="0" w:beforeAutospacing="0" w:after="0" w:afterLines="0" w:afterAutospacing="0" w:line="240" w:lineRule="auto"/>
        <w:jc w:val="left"/>
        <w:rPr>
          <w:rFonts w:ascii="宋体" w:eastAsia="宋体"/>
          <w:sz w:val="44"/>
          <w:szCs w:val="44"/>
        </w:rPr>
      </w:pPr>
    </w:p>
    <w:p w14:paraId="73529252">
      <w:pPr>
        <w:widowControl/>
        <w:spacing w:before="0" w:beforeLines="0" w:beforeAutospacing="0" w:after="0" w:afterLines="0" w:afterAutospacing="0" w:line="240" w:lineRule="auto"/>
        <w:jc w:val="left"/>
        <w:rPr>
          <w:rFonts w:ascii="宋体" w:eastAsia="宋体"/>
          <w:sz w:val="44"/>
          <w:szCs w:val="44"/>
        </w:rPr>
      </w:pPr>
    </w:p>
    <w:p w14:paraId="4E5050B1">
      <w:pPr>
        <w:widowControl/>
        <w:spacing w:before="0" w:beforeLines="0" w:beforeAutospacing="0" w:after="0" w:afterLines="0" w:afterAutospacing="0" w:line="240" w:lineRule="auto"/>
        <w:jc w:val="left"/>
        <w:rPr>
          <w:rFonts w:ascii="宋体" w:eastAsia="宋体"/>
          <w:sz w:val="44"/>
          <w:szCs w:val="44"/>
        </w:rPr>
      </w:pPr>
    </w:p>
    <w:p w14:paraId="3630550D">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新疆维吾尔自治区科技人才开发中心（新疆维吾尔自治区科技金融服务中心）</w:t>
      </w:r>
    </w:p>
    <w:p w14:paraId="413B95C6">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1A600A1C">
      <w:pPr>
        <w:widowControl/>
      </w:pPr>
      <w:r>
        <w:rPr>
          <w:b w:val="0"/>
          <w:sz w:val="0"/>
          <w:szCs w:val="0"/>
        </w:rPr>
        <w:br w:type="page"/>
      </w:r>
    </w:p>
    <w:p w14:paraId="3BB92208">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49188C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446D54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2F42098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1B372E7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5D3848F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BA4B6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A4A705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757FD2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1CBAF44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5CDBBF3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61E181F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138F195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48B6B42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2B25AE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18B1BA1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FF29A4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196C3A6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1C6B0B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07D84A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CD3639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093091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73E7AC0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4E74039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6D54243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6D5EAB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6342F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4C095D0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2E7CB2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79E75F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CEA32B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762112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136E9DC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018C75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0D332B0">
      <w:pPr>
        <w:widowControl/>
      </w:pPr>
      <w:r>
        <w:rPr>
          <w:b w:val="0"/>
          <w:sz w:val="0"/>
          <w:szCs w:val="0"/>
        </w:rPr>
        <w:br w:type="page"/>
      </w:r>
    </w:p>
    <w:p w14:paraId="2983A0F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3F7E40E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140F9E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为自治区科技人才开发提供保障服务。自治区科技人才创新服务平台、科技特派员孵化平台建设，科技人才和科技特派员开发、认定，科技人才信息收集、分类、日常管理，科技人才项目受理与组织实施，科技金融服务平台搭建、运行和维护，国际人才交流活动开展，自治区有关国外引智成果收集、推广。</w:t>
      </w:r>
    </w:p>
    <w:p w14:paraId="71D0EE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DDC3BF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新疆维吾尔自治区科技人才开发中心（新疆维吾尔自治区科技金融服务中心）无下属预算单位。</w:t>
      </w:r>
    </w:p>
    <w:p w14:paraId="438F4831">
      <w:pPr>
        <w:widowControl/>
      </w:pPr>
      <w:r>
        <w:rPr>
          <w:b w:val="0"/>
          <w:sz w:val="0"/>
          <w:szCs w:val="0"/>
        </w:rPr>
        <w:br w:type="page"/>
      </w:r>
    </w:p>
    <w:p w14:paraId="0AAE3C7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39D6690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B5E8AD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2025年度收入总计1,331.96万元，其中：本年收入合计1,010.02万元，使用非财政拨款结余（含专用结余）0.00万元，年初结转和结余321.94万元。</w:t>
      </w:r>
    </w:p>
    <w:p w14:paraId="024ED14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2025年度支出总计1,331.96万元，其中：本年支出合计941.83万元，结余分配97.83万元，年末结转和结余292.31万元。</w:t>
      </w:r>
    </w:p>
    <w:p w14:paraId="5BA9B2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收入支出总体与上年相比，增加89.53万元，增长7.21%，主要原因是：因机构改革，国际人才交流合作中心人员</w:t>
      </w:r>
      <w:r>
        <w:rPr>
          <w:rFonts w:hint="eastAsia" w:ascii="仿宋_GB2312" w:eastAsia="仿宋_GB2312"/>
          <w:b w:val="0"/>
          <w:sz w:val="32"/>
          <w:szCs w:val="32"/>
          <w:lang w:val="en-US" w:eastAsia="zh-CN"/>
        </w:rPr>
        <w:t>与</w:t>
      </w:r>
      <w:r>
        <w:rPr>
          <w:rFonts w:ascii="仿宋_GB2312" w:eastAsia="仿宋_GB2312"/>
          <w:b w:val="0"/>
          <w:sz w:val="32"/>
          <w:szCs w:val="32"/>
        </w:rPr>
        <w:t>本单位合并，</w:t>
      </w:r>
      <w:r>
        <w:rPr>
          <w:rFonts w:hint="eastAsia" w:ascii="仿宋_GB2312" w:eastAsia="仿宋_GB2312"/>
          <w:b w:val="0"/>
          <w:sz w:val="32"/>
          <w:szCs w:val="32"/>
        </w:rPr>
        <w:t>工资、社保</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住房</w:t>
      </w:r>
      <w:r>
        <w:rPr>
          <w:rFonts w:hint="eastAsia" w:ascii="仿宋_GB2312" w:eastAsia="仿宋_GB2312"/>
          <w:b w:val="0"/>
          <w:sz w:val="32"/>
          <w:szCs w:val="32"/>
        </w:rPr>
        <w:t>公积金</w:t>
      </w:r>
      <w:r>
        <w:rPr>
          <w:rFonts w:hint="eastAsia" w:ascii="仿宋_GB2312" w:eastAsia="仿宋_GB2312"/>
          <w:b w:val="0"/>
          <w:sz w:val="32"/>
          <w:szCs w:val="32"/>
          <w:lang w:val="en-US" w:eastAsia="zh-CN"/>
        </w:rPr>
        <w:t>等相关人员经费</w:t>
      </w:r>
      <w:r>
        <w:rPr>
          <w:rFonts w:ascii="仿宋_GB2312" w:eastAsia="仿宋_GB2312"/>
          <w:b w:val="0"/>
          <w:sz w:val="32"/>
          <w:szCs w:val="32"/>
        </w:rPr>
        <w:t>增加。</w:t>
      </w:r>
    </w:p>
    <w:p w14:paraId="53BBDA8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13FFF6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1,010.02万元，其中：财政拨款收入725.29万元,占71.81%；上级补助收入0.00万元,占0.00%；事业收入159.72万元，占15.81%；经营收入0.00万元,占0.00%；附属单位上缴收入0.00万元，占0.00%；其他收入125.00万元，占12.38%。</w:t>
      </w:r>
    </w:p>
    <w:p w14:paraId="2C8D7A3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BADB2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本年支出941.83万元，其中：基本支出667.90万元，占70.92%；项目支出273.93万元，占29.08%；上缴上级支出0.00万元，占0.00%；经营支出0.00万元，占0.00%；对附属单位补助支出0.00万元，占0.00%。</w:t>
      </w:r>
    </w:p>
    <w:p w14:paraId="0C60EE3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2A8201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2025年度财政拨款收入总计725.29万元，其中：年初财政拨款结转和结余0.00万元，本年财政拨款收入725.29万元。财政拨款支出总计725.29万元，其中：年末财政拨款结转和结余0.00万元，本年财政拨款支出725.29万元。</w:t>
      </w:r>
    </w:p>
    <w:p w14:paraId="0D4498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财政拨款收入支出总体与上年相比，增加261.27万元，增长56.31%，主要原因是：因机构改革，国际人才交流合作中心人员</w:t>
      </w:r>
      <w:r>
        <w:rPr>
          <w:rFonts w:hint="eastAsia" w:ascii="仿宋_GB2312" w:eastAsia="仿宋_GB2312"/>
          <w:b w:val="0"/>
          <w:sz w:val="32"/>
          <w:szCs w:val="32"/>
          <w:lang w:val="en-US" w:eastAsia="zh-CN"/>
        </w:rPr>
        <w:t>与</w:t>
      </w:r>
      <w:r>
        <w:rPr>
          <w:rFonts w:ascii="仿宋_GB2312" w:eastAsia="仿宋_GB2312"/>
          <w:b w:val="0"/>
          <w:sz w:val="32"/>
          <w:szCs w:val="32"/>
        </w:rPr>
        <w:t>本单位合并，</w:t>
      </w:r>
      <w:r>
        <w:rPr>
          <w:rFonts w:hint="eastAsia" w:ascii="仿宋_GB2312" w:eastAsia="仿宋_GB2312"/>
          <w:b w:val="0"/>
          <w:sz w:val="32"/>
          <w:szCs w:val="32"/>
        </w:rPr>
        <w:t>工资、社保</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住房</w:t>
      </w:r>
      <w:r>
        <w:rPr>
          <w:rFonts w:hint="eastAsia" w:ascii="仿宋_GB2312" w:eastAsia="仿宋_GB2312"/>
          <w:b w:val="0"/>
          <w:sz w:val="32"/>
          <w:szCs w:val="32"/>
        </w:rPr>
        <w:t>公积金</w:t>
      </w:r>
      <w:r>
        <w:rPr>
          <w:rFonts w:hint="eastAsia" w:ascii="仿宋_GB2312" w:eastAsia="仿宋_GB2312"/>
          <w:b w:val="0"/>
          <w:sz w:val="32"/>
          <w:szCs w:val="32"/>
          <w:lang w:val="en-US" w:eastAsia="zh-CN"/>
        </w:rPr>
        <w:t>等相关人员经费</w:t>
      </w:r>
      <w:r>
        <w:rPr>
          <w:rFonts w:ascii="仿宋_GB2312" w:eastAsia="仿宋_GB2312"/>
          <w:b w:val="0"/>
          <w:sz w:val="32"/>
          <w:szCs w:val="32"/>
        </w:rPr>
        <w:t>增加</w:t>
      </w:r>
      <w:r>
        <w:rPr>
          <w:rFonts w:hint="eastAsia" w:ascii="仿宋_GB2312" w:eastAsia="仿宋_GB2312"/>
          <w:b w:val="0"/>
          <w:sz w:val="32"/>
          <w:szCs w:val="32"/>
          <w:lang w:eastAsia="zh-CN"/>
        </w:rPr>
        <w:t>；</w:t>
      </w:r>
      <w:r>
        <w:rPr>
          <w:rFonts w:ascii="仿宋_GB2312" w:eastAsia="仿宋_GB2312"/>
          <w:b w:val="0"/>
          <w:sz w:val="32"/>
          <w:szCs w:val="32"/>
        </w:rPr>
        <w:t>科技计划管理费和农业科技园区管理经费</w:t>
      </w:r>
      <w:r>
        <w:rPr>
          <w:rFonts w:hint="eastAsia" w:ascii="仿宋_GB2312" w:eastAsia="仿宋_GB2312"/>
          <w:b w:val="0"/>
          <w:sz w:val="32"/>
          <w:szCs w:val="32"/>
          <w:lang w:val="en-US" w:eastAsia="zh-CN"/>
        </w:rPr>
        <w:t>较上年增加</w:t>
      </w:r>
      <w:r>
        <w:rPr>
          <w:rFonts w:ascii="仿宋_GB2312" w:eastAsia="仿宋_GB2312"/>
          <w:b w:val="0"/>
          <w:sz w:val="32"/>
          <w:szCs w:val="32"/>
        </w:rPr>
        <w:t>。与年初预算相比，年初预算数549.58万元，决算数725.29万元，预决算差异率31.97%，主要原因是：本年在职人员增加，年中追加人员经费及人员工资、社保、公积金基数调增部分资金，导致预决算存在差异</w:t>
      </w:r>
      <w:r>
        <w:rPr>
          <w:rFonts w:hint="eastAsia" w:ascii="仿宋_GB2312" w:eastAsia="仿宋_GB2312"/>
          <w:b w:val="0"/>
          <w:sz w:val="32"/>
          <w:szCs w:val="32"/>
          <w:lang w:eastAsia="zh-CN"/>
        </w:rPr>
        <w:t>；</w:t>
      </w:r>
      <w:r>
        <w:rPr>
          <w:rFonts w:ascii="仿宋_GB2312" w:eastAsia="仿宋_GB2312"/>
          <w:b w:val="0"/>
          <w:sz w:val="32"/>
          <w:szCs w:val="32"/>
        </w:rPr>
        <w:t>年中追加</w:t>
      </w:r>
      <w:r>
        <w:rPr>
          <w:rFonts w:ascii="仿宋_GB2312" w:eastAsia="仿宋_GB2312"/>
          <w:b w:val="0"/>
          <w:color w:val="000000" w:themeColor="text1"/>
          <w:sz w:val="32"/>
          <w:szCs w:val="32"/>
        </w:rPr>
        <w:t>科技计划管理</w:t>
      </w:r>
      <w:r>
        <w:rPr>
          <w:rFonts w:hint="eastAsia" w:ascii="仿宋_GB2312" w:eastAsia="仿宋_GB2312"/>
          <w:b w:val="0"/>
          <w:color w:val="000000" w:themeColor="text1"/>
          <w:sz w:val="32"/>
          <w:szCs w:val="32"/>
          <w:lang w:val="en-US" w:eastAsia="zh-CN"/>
        </w:rPr>
        <w:t>费项目</w:t>
      </w:r>
      <w:r>
        <w:rPr>
          <w:rFonts w:ascii="仿宋_GB2312" w:eastAsia="仿宋_GB2312"/>
          <w:b w:val="0"/>
          <w:color w:val="000000" w:themeColor="text1"/>
          <w:sz w:val="32"/>
          <w:szCs w:val="32"/>
        </w:rPr>
        <w:t>和农业科技园区管理</w:t>
      </w:r>
      <w:r>
        <w:rPr>
          <w:rFonts w:hint="eastAsia" w:ascii="仿宋_GB2312" w:eastAsia="仿宋_GB2312"/>
          <w:b w:val="0"/>
          <w:color w:val="000000" w:themeColor="text1"/>
          <w:sz w:val="32"/>
          <w:szCs w:val="32"/>
          <w:lang w:val="en-US" w:eastAsia="zh-CN"/>
        </w:rPr>
        <w:t>费</w:t>
      </w:r>
      <w:r>
        <w:rPr>
          <w:rFonts w:ascii="仿宋_GB2312" w:eastAsia="仿宋_GB2312"/>
          <w:b w:val="0"/>
          <w:sz w:val="32"/>
          <w:szCs w:val="32"/>
        </w:rPr>
        <w:t>项目，导致预决算存在差异。</w:t>
      </w:r>
    </w:p>
    <w:p w14:paraId="4AADB51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45D66427">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机构运行、公共服务</w:t>
      </w:r>
      <w:r>
        <w:rPr>
          <w:rFonts w:ascii="仿宋_GB2312" w:eastAsia="仿宋_GB2312"/>
          <w:b w:val="0"/>
          <w:sz w:val="32"/>
          <w:szCs w:val="32"/>
        </w:rPr>
        <w:t>等重点支出，体现在有关支出科目中。</w:t>
      </w:r>
    </w:p>
    <w:p w14:paraId="496391D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按照支出功能分类，科学技术支出（类）应用研究（款）机构运行（项）的支出占本年财政拨款支出总额的比重最高，2025年度决算数为605.50万元，占比83.48%，主要用于人员</w:t>
      </w:r>
      <w:r>
        <w:rPr>
          <w:rFonts w:hint="eastAsia" w:ascii="仿宋_GB2312" w:eastAsia="仿宋_GB2312"/>
          <w:b w:val="0"/>
          <w:sz w:val="32"/>
          <w:szCs w:val="32"/>
          <w:lang w:val="en-US" w:eastAsia="zh-CN"/>
        </w:rPr>
        <w:t>工资福利、</w:t>
      </w:r>
      <w:r>
        <w:rPr>
          <w:rFonts w:ascii="仿宋_GB2312" w:eastAsia="仿宋_GB2312"/>
          <w:b w:val="0"/>
          <w:sz w:val="32"/>
          <w:szCs w:val="32"/>
        </w:rPr>
        <w:t>公用经费支出。</w:t>
      </w:r>
    </w:p>
    <w:p w14:paraId="083E3B02">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291E47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2025年度一般公共预算财政拨款支出725.29万元，占本年支出合计的77.01%。与上年相比，增加261.27万元，增长56.31%，主要原因是：因机构改革，国际人才交流合作中心人员</w:t>
      </w:r>
      <w:r>
        <w:rPr>
          <w:rFonts w:hint="eastAsia" w:ascii="仿宋_GB2312" w:eastAsia="仿宋_GB2312"/>
          <w:b w:val="0"/>
          <w:sz w:val="32"/>
          <w:szCs w:val="32"/>
          <w:lang w:val="en-US" w:eastAsia="zh-CN"/>
        </w:rPr>
        <w:t>与</w:t>
      </w:r>
      <w:r>
        <w:rPr>
          <w:rFonts w:ascii="仿宋_GB2312" w:eastAsia="仿宋_GB2312"/>
          <w:b w:val="0"/>
          <w:sz w:val="32"/>
          <w:szCs w:val="32"/>
        </w:rPr>
        <w:t>本单位合并，</w:t>
      </w:r>
      <w:r>
        <w:rPr>
          <w:rFonts w:hint="eastAsia" w:ascii="仿宋_GB2312" w:eastAsia="仿宋_GB2312"/>
          <w:b w:val="0"/>
          <w:sz w:val="32"/>
          <w:szCs w:val="32"/>
        </w:rPr>
        <w:t>工资、社保</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住房</w:t>
      </w:r>
      <w:r>
        <w:rPr>
          <w:rFonts w:hint="eastAsia" w:ascii="仿宋_GB2312" w:eastAsia="仿宋_GB2312"/>
          <w:b w:val="0"/>
          <w:sz w:val="32"/>
          <w:szCs w:val="32"/>
        </w:rPr>
        <w:t>公积金</w:t>
      </w:r>
      <w:r>
        <w:rPr>
          <w:rFonts w:hint="eastAsia" w:ascii="仿宋_GB2312" w:eastAsia="仿宋_GB2312"/>
          <w:b w:val="0"/>
          <w:sz w:val="32"/>
          <w:szCs w:val="32"/>
          <w:lang w:val="en-US" w:eastAsia="zh-CN"/>
        </w:rPr>
        <w:t>等相关</w:t>
      </w:r>
      <w:bookmarkStart w:id="0" w:name="_GoBack"/>
      <w:bookmarkEnd w:id="0"/>
      <w:r>
        <w:rPr>
          <w:rFonts w:hint="eastAsia" w:ascii="仿宋_GB2312" w:eastAsia="仿宋_GB2312"/>
          <w:b w:val="0"/>
          <w:sz w:val="32"/>
          <w:szCs w:val="32"/>
          <w:lang w:val="en-US" w:eastAsia="zh-CN"/>
        </w:rPr>
        <w:t>人员经费</w:t>
      </w:r>
      <w:r>
        <w:rPr>
          <w:rFonts w:ascii="仿宋_GB2312" w:eastAsia="仿宋_GB2312"/>
          <w:b w:val="0"/>
          <w:sz w:val="32"/>
          <w:szCs w:val="32"/>
        </w:rPr>
        <w:t>增加</w:t>
      </w:r>
      <w:r>
        <w:rPr>
          <w:rFonts w:hint="eastAsia" w:ascii="仿宋_GB2312" w:eastAsia="仿宋_GB2312"/>
          <w:b w:val="0"/>
          <w:sz w:val="32"/>
          <w:szCs w:val="32"/>
          <w:lang w:eastAsia="zh-CN"/>
        </w:rPr>
        <w:t>；</w:t>
      </w:r>
      <w:r>
        <w:rPr>
          <w:rFonts w:ascii="仿宋_GB2312" w:eastAsia="仿宋_GB2312"/>
          <w:b w:val="0"/>
          <w:sz w:val="32"/>
          <w:szCs w:val="32"/>
        </w:rPr>
        <w:t>科技计划管理费和农业科技园区管理经费</w:t>
      </w:r>
      <w:r>
        <w:rPr>
          <w:rFonts w:hint="eastAsia" w:ascii="仿宋_GB2312" w:eastAsia="仿宋_GB2312"/>
          <w:b w:val="0"/>
          <w:sz w:val="32"/>
          <w:szCs w:val="32"/>
          <w:lang w:val="en-US" w:eastAsia="zh-CN"/>
        </w:rPr>
        <w:t>较上年增加</w:t>
      </w:r>
      <w:r>
        <w:rPr>
          <w:rFonts w:ascii="仿宋_GB2312" w:eastAsia="仿宋_GB2312"/>
          <w:b w:val="0"/>
          <w:sz w:val="32"/>
          <w:szCs w:val="32"/>
        </w:rPr>
        <w:t>。与年初预算相比，年初预算数549.58万元，决算数725.29万元，预决算差异率31.97%，主要原因是：本年在职人员增加，年中追加人员经费及人员工资、社保、公积</w:t>
      </w:r>
      <w:r>
        <w:rPr>
          <w:rFonts w:ascii="仿宋_GB2312" w:eastAsia="仿宋_GB2312"/>
          <w:b w:val="0"/>
          <w:color w:val="000000" w:themeColor="text1"/>
          <w:sz w:val="32"/>
          <w:szCs w:val="32"/>
        </w:rPr>
        <w:t>金基数调增部分资金，导致预决算存在差异</w:t>
      </w:r>
      <w:r>
        <w:rPr>
          <w:rFonts w:hint="eastAsia" w:ascii="仿宋_GB2312" w:eastAsia="仿宋_GB2312"/>
          <w:b w:val="0"/>
          <w:color w:val="000000" w:themeColor="text1"/>
          <w:sz w:val="32"/>
          <w:szCs w:val="32"/>
          <w:lang w:eastAsia="zh-CN"/>
        </w:rPr>
        <w:t>；</w:t>
      </w:r>
      <w:r>
        <w:rPr>
          <w:rFonts w:ascii="仿宋_GB2312" w:eastAsia="仿宋_GB2312"/>
          <w:b w:val="0"/>
          <w:color w:val="000000" w:themeColor="text1"/>
          <w:sz w:val="32"/>
          <w:szCs w:val="32"/>
        </w:rPr>
        <w:t>年中追加科技计划管理</w:t>
      </w:r>
      <w:r>
        <w:rPr>
          <w:rFonts w:hint="eastAsia" w:ascii="仿宋_GB2312" w:eastAsia="仿宋_GB2312"/>
          <w:b w:val="0"/>
          <w:color w:val="000000" w:themeColor="text1"/>
          <w:sz w:val="32"/>
          <w:szCs w:val="32"/>
          <w:lang w:val="en-US" w:eastAsia="zh-CN"/>
        </w:rPr>
        <w:t>费项目</w:t>
      </w:r>
      <w:r>
        <w:rPr>
          <w:rFonts w:ascii="仿宋_GB2312" w:eastAsia="仿宋_GB2312"/>
          <w:b w:val="0"/>
          <w:color w:val="000000" w:themeColor="text1"/>
          <w:sz w:val="32"/>
          <w:szCs w:val="32"/>
        </w:rPr>
        <w:t>和农业科技园区管理</w:t>
      </w:r>
      <w:r>
        <w:rPr>
          <w:rFonts w:hint="eastAsia" w:ascii="仿宋_GB2312" w:eastAsia="仿宋_GB2312"/>
          <w:b w:val="0"/>
          <w:color w:val="000000" w:themeColor="text1"/>
          <w:sz w:val="32"/>
          <w:szCs w:val="32"/>
          <w:lang w:val="en-US" w:eastAsia="zh-CN"/>
        </w:rPr>
        <w:t>费</w:t>
      </w:r>
      <w:r>
        <w:rPr>
          <w:rFonts w:ascii="仿宋_GB2312" w:eastAsia="仿宋_GB2312"/>
          <w:b w:val="0"/>
          <w:sz w:val="32"/>
          <w:szCs w:val="32"/>
        </w:rPr>
        <w:t>项目，导致预决算存在差异。</w:t>
      </w:r>
    </w:p>
    <w:p w14:paraId="5AEB0DE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6F40168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1.科学技术支出（类）725.29万元，占100.00%。</w:t>
      </w:r>
    </w:p>
    <w:p w14:paraId="4240008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F90D0E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1、科学技术支出（类）科学技术管理事务（款）其他科学技术管理事务支出（项）：支出决算数为77.06万元，比上年决算增加77.06万元，增长100.00%，主要原因是：本年增加科技计划管理费。</w:t>
      </w:r>
    </w:p>
    <w:p w14:paraId="1F3023C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2、科学技术支出（类）基础研究（款）科技人才队伍建设（项）：支出决算数为15.19万元，比上年决算减少6.55万元，下降30.13%，主要原因是：青年科技创新人才培养项目支出减少。</w:t>
      </w:r>
    </w:p>
    <w:p w14:paraId="57AF2DA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3、科学技术支出（类）应用研究（款）机构运行（项）：支出决算数为605.50万元，比上年决算增加190.55万元，增长45.92%，主要原因是：因机构改革，国际人才交流合作中心人员</w:t>
      </w:r>
      <w:r>
        <w:rPr>
          <w:rFonts w:hint="eastAsia" w:ascii="仿宋_GB2312" w:eastAsia="仿宋_GB2312"/>
          <w:b w:val="0"/>
          <w:sz w:val="32"/>
          <w:szCs w:val="32"/>
          <w:lang w:val="en-US" w:eastAsia="zh-CN"/>
        </w:rPr>
        <w:t>与</w:t>
      </w:r>
      <w:r>
        <w:rPr>
          <w:rFonts w:ascii="仿宋_GB2312" w:eastAsia="仿宋_GB2312"/>
          <w:b w:val="0"/>
          <w:sz w:val="32"/>
          <w:szCs w:val="32"/>
        </w:rPr>
        <w:t>本单位合并，</w:t>
      </w:r>
      <w:r>
        <w:rPr>
          <w:rFonts w:hint="eastAsia" w:ascii="仿宋_GB2312" w:eastAsia="仿宋_GB2312"/>
          <w:b w:val="0"/>
          <w:sz w:val="32"/>
          <w:szCs w:val="32"/>
        </w:rPr>
        <w:t>工资、社保</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住房</w:t>
      </w:r>
      <w:r>
        <w:rPr>
          <w:rFonts w:hint="eastAsia" w:ascii="仿宋_GB2312" w:eastAsia="仿宋_GB2312"/>
          <w:b w:val="0"/>
          <w:sz w:val="32"/>
          <w:szCs w:val="32"/>
        </w:rPr>
        <w:t>公积金</w:t>
      </w:r>
      <w:r>
        <w:rPr>
          <w:rFonts w:hint="eastAsia" w:ascii="仿宋_GB2312" w:eastAsia="仿宋_GB2312"/>
          <w:b w:val="0"/>
          <w:sz w:val="32"/>
          <w:szCs w:val="32"/>
          <w:lang w:val="en-US" w:eastAsia="zh-CN"/>
        </w:rPr>
        <w:t>等相关人员经费</w:t>
      </w:r>
      <w:r>
        <w:rPr>
          <w:rFonts w:ascii="仿宋_GB2312" w:eastAsia="仿宋_GB2312"/>
          <w:b w:val="0"/>
          <w:sz w:val="32"/>
          <w:szCs w:val="32"/>
        </w:rPr>
        <w:t>增加。</w:t>
      </w:r>
    </w:p>
    <w:p w14:paraId="73BA0EC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4、科学技术支出（类）技术研究与开发（款）科技成果转化与扩散（项）：支出决算数为27.55万元，比上年决算增加0.23万元，增长0.84%，主要原因是：农业科技园区管理经费支出增加。</w:t>
      </w:r>
    </w:p>
    <w:p w14:paraId="20CEC75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0BF44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605.50万元，其中：人员经费569.48万元，包括：基本工资、津贴补贴、奖金、绩效工资、机关事业单位基本养老保险缴费、职业年金缴费、职工基本医疗保险缴费、公务员医疗补助缴费、其他社会保障缴费、住房公积金、退休费、奖励金和其他对个人和家庭的补助。</w:t>
      </w:r>
    </w:p>
    <w:p w14:paraId="1D464B8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公用经费36.02万元，包括：办公费、电费、邮电费、取暖费、差旅费、培训费、工会经费、福利费和公务用车运行维护费。</w:t>
      </w:r>
    </w:p>
    <w:p w14:paraId="23BD638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B7B21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2C2B601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54215E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CC62CB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41A5D04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2025年度财政拨款“三公”经费支出1.23万元，与上年相比无变化，主要原因是：</w:t>
      </w:r>
      <w:r>
        <w:rPr>
          <w:rFonts w:ascii="仿宋_GB2312" w:eastAsia="仿宋_GB2312"/>
          <w:sz w:val="32"/>
          <w:szCs w:val="32"/>
          <w:highlight w:val="none"/>
        </w:rPr>
        <w:t>我单位“三公”经费与上年一致无变化</w:t>
      </w:r>
      <w:r>
        <w:rPr>
          <w:rFonts w:ascii="仿宋_GB2312" w:eastAsia="仿宋_GB2312"/>
          <w:b w:val="0"/>
          <w:sz w:val="32"/>
          <w:szCs w:val="32"/>
        </w:rPr>
        <w:t>。其中：因公出国（境）费用支出0.00万元,占0.00%，与上年相比无变化，主要原因是：本单位2024年度与2025年度均未安排无因公出国（境）费；公务用车购置及运行维护费支出1.23万元，占100.00%，与上年相比无变化，主要原因是：</w:t>
      </w:r>
      <w:r>
        <w:rPr>
          <w:rFonts w:ascii="仿宋_GB2312" w:eastAsia="仿宋_GB2312"/>
          <w:sz w:val="32"/>
          <w:szCs w:val="32"/>
          <w:highlight w:val="none"/>
        </w:rPr>
        <w:t>我单位</w:t>
      </w:r>
      <w:r>
        <w:rPr>
          <w:rFonts w:ascii="仿宋_GB2312" w:eastAsia="仿宋_GB2312"/>
          <w:b w:val="0"/>
          <w:sz w:val="32"/>
          <w:szCs w:val="32"/>
        </w:rPr>
        <w:t>公务用车购置及运行维护费支出</w:t>
      </w:r>
      <w:r>
        <w:rPr>
          <w:rFonts w:ascii="仿宋_GB2312" w:eastAsia="仿宋_GB2312"/>
          <w:sz w:val="32"/>
          <w:szCs w:val="32"/>
          <w:highlight w:val="none"/>
        </w:rPr>
        <w:t>与上年一致无变化</w:t>
      </w:r>
      <w:r>
        <w:rPr>
          <w:rFonts w:ascii="仿宋_GB2312" w:eastAsia="仿宋_GB2312"/>
          <w:b w:val="0"/>
          <w:sz w:val="32"/>
          <w:szCs w:val="32"/>
        </w:rPr>
        <w:t>；公务接待费支出0.00万元，占0.00%，与上年相比无变化，主要原因是：本单位2024年度与2025年度均未安排公务接待费。</w:t>
      </w:r>
    </w:p>
    <w:p w14:paraId="4042F57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17B2BB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因公出国（境）费用0.00万元，开支内容包括本单位无因公出国（境）费。单位全年安排的因公出国（境）团组0个，因公出国（境）0人次。</w:t>
      </w:r>
    </w:p>
    <w:p w14:paraId="4F40C3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1.23万元，其中：公务用车购置费0.00万元，公务用车运行维护费1.23万元。公务用车运行维护费开支内容包括燃料费、公车维修费、车辆保险费等。公务用车购置数0辆，公务用车保有量1辆。国有资产占用情况中固定资产车辆1辆，与公务用车保有量差异原因是：本单位国有资产固定资产车辆数量与公务用车保有量无差异。</w:t>
      </w:r>
    </w:p>
    <w:p w14:paraId="2D550C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公务接待费0.00万元，开支内容包括本单位无公务接待费。单位全年安排的国内公务接待0批次，0人次。</w:t>
      </w:r>
    </w:p>
    <w:p w14:paraId="5A3A66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与全年预算相比，财政拨款“三公”经费支出全年预算数1.23万元，决算数1.23万元，预决算差异率0.00%，主要原因是：严格按照预算执行，预决算一</w:t>
      </w:r>
      <w:r>
        <w:rPr>
          <w:rFonts w:hint="eastAsia" w:ascii="仿宋_GB2312" w:eastAsia="仿宋_GB2312"/>
          <w:b w:val="0"/>
          <w:sz w:val="32"/>
          <w:szCs w:val="32"/>
          <w:lang w:val="en-US" w:eastAsia="zh-CN"/>
        </w:rPr>
        <w:t>致</w:t>
      </w:r>
      <w:r>
        <w:rPr>
          <w:rFonts w:ascii="仿宋_GB2312" w:eastAsia="仿宋_GB2312"/>
          <w:b w:val="0"/>
          <w:sz w:val="32"/>
          <w:szCs w:val="32"/>
        </w:rPr>
        <w:t>无差异。其中：因公出国（境）费用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1.23万元，决算数1.23万元，预决算差异率0.00%，主要原因是：严格按照预算执行，预决算一</w:t>
      </w:r>
      <w:r>
        <w:rPr>
          <w:rFonts w:hint="eastAsia" w:ascii="仿宋_GB2312" w:eastAsia="仿宋_GB2312"/>
          <w:b w:val="0"/>
          <w:sz w:val="32"/>
          <w:szCs w:val="32"/>
          <w:lang w:val="en-US" w:eastAsia="zh-CN"/>
        </w:rPr>
        <w:t>致</w:t>
      </w:r>
      <w:r>
        <w:rPr>
          <w:rFonts w:ascii="仿宋_GB2312" w:eastAsia="仿宋_GB2312"/>
          <w:b w:val="0"/>
          <w:sz w:val="32"/>
          <w:szCs w:val="32"/>
        </w:rPr>
        <w:t>无差异；公务接待费全年预算数0.00万元，决算数0.00万元，预决算差异率0.00%，主要原因是：本单位无公务接待费。</w:t>
      </w:r>
    </w:p>
    <w:p w14:paraId="5CDF8E1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04BDDE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31B3A2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科技人才开发中心（新疆维吾尔自治区科技金融服务中心）（事业单位）公用经费支出36.02万元，比上年增加9.71万元，增长36.91%，主要原因是：因机构改革，国际人才交流合作中心与本单位合并</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办公费、水费、电费等</w:t>
      </w:r>
      <w:r>
        <w:rPr>
          <w:rFonts w:ascii="仿宋_GB2312" w:eastAsia="仿宋_GB2312"/>
          <w:b w:val="0"/>
          <w:sz w:val="32"/>
          <w:szCs w:val="32"/>
        </w:rPr>
        <w:t>公用经费支出增加。</w:t>
      </w:r>
    </w:p>
    <w:p w14:paraId="546D7BD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3DB93AD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2025年度政府采购支出总额1.01万元，其中：政府采购货物支出0.50万元、政府采购工程支出0.00万元、政府采购服务支出0.51万元。</w:t>
      </w:r>
    </w:p>
    <w:p w14:paraId="5F8089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授予中小企业合同金额0.80万元，占政府采购支出总额的79.21%，其中：授予小微企业合同金额0.80万元，占政府采购支出总额的79.21%。</w:t>
      </w:r>
    </w:p>
    <w:p w14:paraId="527F32B9">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24B9F9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1辆，价值20.68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F939B1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26B09D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根据预算绩效管理要求，本单位2025年度预算绩效评价项目3个，全年预算数412.00万元，全年执行数293.60万元。预算绩效管理取得的成效：</w:t>
      </w:r>
      <w:r>
        <w:rPr>
          <w:rFonts w:hint="eastAsia" w:ascii="仿宋_GB2312" w:eastAsia="仿宋_GB2312"/>
          <w:b w:val="0"/>
          <w:sz w:val="32"/>
          <w:szCs w:val="32"/>
          <w:lang w:val="en-US" w:eastAsia="zh-CN"/>
        </w:rPr>
        <w:t>一是</w:t>
      </w:r>
      <w:r>
        <w:rPr>
          <w:rFonts w:ascii="仿宋_GB2312" w:eastAsia="仿宋_GB2312"/>
          <w:b w:val="0"/>
          <w:sz w:val="32"/>
          <w:szCs w:val="32"/>
        </w:rPr>
        <w:t>逐步搭建预算绩效管控体系，依托绩效手段规范项目实施流程，保障项目有序推进</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二是</w:t>
      </w:r>
      <w:r>
        <w:rPr>
          <w:rFonts w:hint="eastAsia" w:ascii="仿宋_GB2312" w:eastAsia="仿宋_GB2312"/>
          <w:b w:val="0"/>
          <w:color w:val="000000" w:themeColor="text1"/>
          <w:sz w:val="32"/>
          <w:szCs w:val="32"/>
        </w:rPr>
        <w:t>稳步推进预算绩效管理工作，做实绩效监控与评价，严控低效支出，切实发挥资金保障作用</w:t>
      </w:r>
      <w:r>
        <w:rPr>
          <w:rFonts w:ascii="仿宋_GB2312" w:eastAsia="仿宋_GB2312"/>
          <w:b w:val="0"/>
          <w:sz w:val="32"/>
          <w:szCs w:val="32"/>
        </w:rPr>
        <w:t>。发现的问题及原因：一是预算绩效管理理念普及不够，思想认识仍需提升；二是绩效指标谋划不够精细，指标设置科学性有待加强。下一步改进措施：一是抓实单位预算绩效管理工作，持续夯实绩效工作基础；二是推动业务与财务协同联动，立足项目实际优化绩效指标设定。具体附整体支出绩效自评表。</w:t>
      </w:r>
    </w:p>
    <w:p w14:paraId="06B408B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594540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58BAF07A">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404A47A">
      <w:pPr>
        <w:widowControl/>
      </w:pPr>
      <w:r>
        <w:rPr>
          <w:b w:val="0"/>
          <w:sz w:val="0"/>
          <w:szCs w:val="0"/>
        </w:rPr>
        <w:br w:type="page"/>
      </w:r>
    </w:p>
    <w:p w14:paraId="54FFA87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860BB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7C5DE19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501A0A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496F039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E46BAB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11AA22C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245B952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6E61696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CBC78A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2AF84E3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0A10E3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1D627B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5F012A3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2CCB1E9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067CF8C6">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6AC85AD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7C24D9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1E3C7E68">
      <w:pPr>
        <w:widowControl/>
      </w:pPr>
      <w:r>
        <w:rPr>
          <w:b w:val="0"/>
          <w:sz w:val="0"/>
          <w:szCs w:val="0"/>
        </w:rPr>
        <w:br w:type="page"/>
      </w:r>
    </w:p>
    <w:p w14:paraId="605EA67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65F729B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58BE538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C2A791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05A240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A8B4F6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1C3EA47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DA21AC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6B2ABEA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EACB59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26A24C2D"/>
    <w:rsid w:val="2BDE522C"/>
    <w:rsid w:val="2E0D5CD0"/>
    <w:rsid w:val="2EF24B61"/>
    <w:rsid w:val="39BD1693"/>
    <w:rsid w:val="42300B3B"/>
    <w:rsid w:val="43EC5121"/>
    <w:rsid w:val="6D4874B7"/>
    <w:rsid w:val="757A04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5341</Words>
  <Characters>5877</Characters>
  <TotalTime>1</TotalTime>
  <ScaleCrop>false</ScaleCrop>
  <LinksUpToDate>false</LinksUpToDate>
  <CharactersWithSpaces>5884</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2026-08-19T03:15:00Z</dcterms:created>
  <dc:creator>lenovo</dc:creator>
  <cp:lastModifiedBy>雨。</cp:lastModifiedBy>
  <dcterms:modified xsi:type="dcterms:W3CDTF">2026-08-29T11:28:21Z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eyJoZGlkIjoiYTZjZThjMDFjYjU0NDRjYWE1YjFlZmFjNmU0NDBiYTgiLCJ1c2VySWQiOiI0NjExNzA3OTgifQ==</vt:lpwstr>
  </property>
  <property fmtid="{D5CDD505-2E9C-101B-9397-08002B2CF9AE}" pid="3" name="KSOProductBuildVer">
    <vt:lpwstr>2052-12.1.0.18608</vt:lpwstr>
  </property>
  <property fmtid="{D5CDD505-2E9C-101B-9397-08002B2CF9AE}" pid="4" name="ICV">
    <vt:lpwstr>4E47F2CAF2B640D8B3CFED7576706D67_12</vt:lpwstr>
  </property>
</Properties>
</file>