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1B2E0">
      <w:pPr>
        <w:widowControl/>
        <w:spacing w:before="0" w:beforeLines="0" w:beforeAutospacing="0" w:after="0" w:afterLines="0" w:afterAutospacing="0" w:line="240" w:lineRule="auto"/>
        <w:jc w:val="left"/>
        <w:rPr>
          <w:rFonts w:ascii="宋体" w:eastAsia="宋体"/>
          <w:sz w:val="32"/>
          <w:szCs w:val="32"/>
        </w:rPr>
      </w:pPr>
    </w:p>
    <w:p w14:paraId="5A5D025D">
      <w:pPr>
        <w:widowControl/>
        <w:spacing w:before="0" w:beforeLines="0" w:beforeAutospacing="0" w:after="0" w:afterLines="0" w:afterAutospacing="0" w:line="240" w:lineRule="auto"/>
        <w:jc w:val="left"/>
        <w:rPr>
          <w:rFonts w:ascii="宋体" w:eastAsia="宋体"/>
          <w:sz w:val="44"/>
          <w:szCs w:val="44"/>
        </w:rPr>
      </w:pPr>
    </w:p>
    <w:p w14:paraId="682AC10F">
      <w:pPr>
        <w:widowControl/>
        <w:spacing w:before="0" w:beforeLines="0" w:beforeAutospacing="0" w:after="0" w:afterLines="0" w:afterAutospacing="0" w:line="240" w:lineRule="auto"/>
        <w:jc w:val="left"/>
        <w:rPr>
          <w:rFonts w:ascii="宋体" w:eastAsia="宋体"/>
          <w:sz w:val="44"/>
          <w:szCs w:val="44"/>
        </w:rPr>
      </w:pPr>
    </w:p>
    <w:p w14:paraId="61315A69">
      <w:pPr>
        <w:widowControl/>
        <w:spacing w:before="0" w:beforeLines="0" w:beforeAutospacing="0" w:after="0" w:afterLines="0" w:afterAutospacing="0" w:line="240" w:lineRule="auto"/>
        <w:jc w:val="left"/>
        <w:rPr>
          <w:rFonts w:ascii="宋体" w:eastAsia="宋体"/>
          <w:sz w:val="44"/>
          <w:szCs w:val="44"/>
        </w:rPr>
      </w:pPr>
    </w:p>
    <w:p w14:paraId="705361C5">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新疆维吾尔自治区科技发展战略研究院（新疆维吾尔自治区青藏科考研究中心）</w:t>
      </w:r>
    </w:p>
    <w:p w14:paraId="144FDCA1">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4DDD2144">
      <w:pPr>
        <w:widowControl/>
      </w:pPr>
      <w:r>
        <w:rPr>
          <w:b w:val="0"/>
          <w:sz w:val="0"/>
          <w:szCs w:val="0"/>
        </w:rPr>
        <w:br w:type="page"/>
      </w:r>
    </w:p>
    <w:p w14:paraId="6DAC2499">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D393B2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1580CCD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7982F38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1E686A8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2B7A7E0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7F0A0E0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020227D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6C08EAD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5AF8AD5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33C44C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3AEBE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3FC34F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9C6F64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0659219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31361E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B2DF2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0CCFB4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0A6325D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618A72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634643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4B85C0B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6A20E4D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4C39AA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3B2A5D9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28DA84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CB1FF1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0E48F6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504874E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E9F29A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5EEF17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3D7222B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F7A61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6E118BB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26656189">
      <w:pPr>
        <w:widowControl/>
      </w:pPr>
      <w:r>
        <w:rPr>
          <w:b w:val="0"/>
          <w:sz w:val="0"/>
          <w:szCs w:val="0"/>
        </w:rPr>
        <w:br w:type="page"/>
      </w:r>
    </w:p>
    <w:p w14:paraId="4264660D">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1C467E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2E9E8D3D">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hint="eastAsia" w:ascii="仿宋_GB2312" w:eastAsia="仿宋_GB2312"/>
          <w:b w:val="0"/>
          <w:sz w:val="32"/>
          <w:szCs w:val="32"/>
        </w:rPr>
        <w:t>新疆维吾尔自治区科技发展战略研究院主要职责是开展科技发展战略、规划、科技体制与政策、产业与民生科技等问题的前瞻性研究，为自治区科技发展决策提供政策建议和咨询意见；组织开展青藏科考研究；承担《新疆科技报》《中亚信息》编辑出版发行等工作。</w:t>
      </w:r>
    </w:p>
    <w:p w14:paraId="1991671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EC7237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新疆维吾尔自治区科技发展战略研究院（新疆维吾尔自治区青藏科考研究中心）无下属预算单位。</w:t>
      </w:r>
    </w:p>
    <w:p w14:paraId="2522B5F6">
      <w:pPr>
        <w:widowControl/>
      </w:pPr>
      <w:r>
        <w:rPr>
          <w:b w:val="0"/>
          <w:sz w:val="0"/>
          <w:szCs w:val="0"/>
        </w:rPr>
        <w:br w:type="page"/>
      </w:r>
    </w:p>
    <w:p w14:paraId="350DB6D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4786F34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7D0B53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2025年度收入总计4,825.95万元，其中：本年收入合计4,232.23万元，使用非财政拨款结余（含专用结余）0.00万元，年初结转和结余593.72万元。</w:t>
      </w:r>
    </w:p>
    <w:p w14:paraId="27374E9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2025年度支出总计4,825.95万元，其中：本年支出合计4,071.31万元，结余分配191.00万元，年末结转和结余563.64万元。</w:t>
      </w:r>
    </w:p>
    <w:p w14:paraId="56E6D98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收入支出总体与上年相比，增加1,432.18万元，增长42.20%，主要原因是：</w:t>
      </w:r>
      <w:r>
        <w:rPr>
          <w:rFonts w:hint="eastAsia" w:ascii="仿宋_GB2312" w:eastAsia="仿宋_GB2312"/>
          <w:b w:val="0"/>
          <w:sz w:val="32"/>
          <w:szCs w:val="32"/>
        </w:rPr>
        <w:t>一是2025年机构改革，科技报社并入我单位，相关人员经费、公用经费、项目经费增加；二是</w:t>
      </w:r>
      <w:r>
        <w:rPr>
          <w:rFonts w:hint="eastAsia" w:ascii="仿宋_GB2312" w:eastAsia="仿宋_GB2312"/>
          <w:b w:val="0"/>
          <w:sz w:val="32"/>
          <w:szCs w:val="32"/>
          <w:lang w:val="en-US" w:eastAsia="zh-CN"/>
        </w:rPr>
        <w:t>新增2025年“三区”科技人才支持计划项目资金</w:t>
      </w:r>
      <w:r>
        <w:rPr>
          <w:rFonts w:hint="eastAsia" w:ascii="仿宋_GB2312" w:eastAsia="仿宋_GB2312"/>
          <w:b w:val="0"/>
          <w:sz w:val="32"/>
          <w:szCs w:val="32"/>
        </w:rPr>
        <w:t>；三是增加一家亲结对认亲交通费</w:t>
      </w:r>
      <w:r>
        <w:rPr>
          <w:rFonts w:ascii="仿宋_GB2312" w:eastAsia="仿宋_GB2312"/>
          <w:b w:val="0"/>
          <w:sz w:val="32"/>
          <w:szCs w:val="32"/>
        </w:rPr>
        <w:t>。</w:t>
      </w:r>
    </w:p>
    <w:p w14:paraId="28F4295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04017D2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4,232.23万元，其中：财政拨款收入2,891.44万元,占68.32%；上级补助收入0.00万元,占0.00%；事业收入567.70万元，占13.41%；经营收入0.00万元,占0.00%；附属单位上缴收入0.00万元，占0.00%；其他收入773.09万元，占18.27%。</w:t>
      </w:r>
    </w:p>
    <w:p w14:paraId="7CEB489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4ED4E9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本年支出4,071.31万元，其中：基本支出2,732.73万元，占67.12%；项目支出1,338.57万元，占32.88%；上缴上级支出0.00万元，占0.00%；经营支出0.00万元，占0.00%；对附属单位补助支出0.00万元，占0.00%。</w:t>
      </w:r>
    </w:p>
    <w:p w14:paraId="5BED983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7674A89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2,891.44万元，其中：年初财政拨款结转和结余0.00万元，本年财政拨款收入2,891.44万元。财政拨款支出总计2,891.44万元，其中：年末财政拨款结转和结余0.00万元，本年财政拨款支出2,891.44万元。</w:t>
      </w:r>
    </w:p>
    <w:p w14:paraId="5983B7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财政拨款收入支出总体与上年相比，增加981.26万元，增长51.37%，主要原因是：</w:t>
      </w:r>
      <w:r>
        <w:rPr>
          <w:rFonts w:hint="eastAsia" w:ascii="仿宋_GB2312" w:eastAsia="仿宋_GB2312"/>
          <w:b w:val="0"/>
          <w:sz w:val="32"/>
          <w:szCs w:val="32"/>
        </w:rPr>
        <w:t>一是2025年机构改革，科技报社并入我单位，相关人员经费和公用经费增加；二是增加“出版印刷费”</w:t>
      </w:r>
      <w:r>
        <w:rPr>
          <w:rFonts w:hint="eastAsia" w:ascii="仿宋_GB2312" w:eastAsia="仿宋_GB2312"/>
          <w:b w:val="0"/>
          <w:sz w:val="32"/>
          <w:szCs w:val="32"/>
          <w:lang w:eastAsia="zh-CN"/>
        </w:rPr>
        <w:t>、2025年“三区”科技人才支持计划项目资金</w:t>
      </w:r>
      <w:r>
        <w:rPr>
          <w:rFonts w:ascii="仿宋_GB2312" w:eastAsia="仿宋_GB2312"/>
          <w:b w:val="0"/>
          <w:sz w:val="32"/>
          <w:szCs w:val="32"/>
        </w:rPr>
        <w:t>。与年初预算相比，年初预算数2,444.69万元，决算数2,891.44万元，预决算差异率18.27%，主要原因是：</w:t>
      </w:r>
      <w:r>
        <w:rPr>
          <w:rFonts w:hint="eastAsia" w:ascii="仿宋_GB2312" w:eastAsia="仿宋_GB2312"/>
          <w:b w:val="0"/>
          <w:sz w:val="32"/>
          <w:szCs w:val="32"/>
        </w:rPr>
        <w:t>一是年中追加人员工资、社保、职业年金、丧葬费抚恤金等，导致预决算存在差异；二是年中追加一家亲结对认亲交通费</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A</w:t>
      </w:r>
      <w:r>
        <w:rPr>
          <w:rFonts w:hint="eastAsia" w:ascii="仿宋_GB2312" w:eastAsia="仿宋_GB2312"/>
          <w:b w:val="0"/>
          <w:sz w:val="32"/>
          <w:szCs w:val="32"/>
        </w:rPr>
        <w:t>项目</w:t>
      </w:r>
      <w:r>
        <w:rPr>
          <w:rFonts w:hint="eastAsia" w:ascii="仿宋_GB2312" w:eastAsia="仿宋_GB2312"/>
          <w:b w:val="0"/>
          <w:sz w:val="32"/>
          <w:szCs w:val="32"/>
          <w:lang w:val="en-US" w:eastAsia="zh-CN"/>
        </w:rPr>
        <w:t>资金</w:t>
      </w:r>
      <w:r>
        <w:rPr>
          <w:rFonts w:hint="eastAsia" w:ascii="仿宋_GB2312" w:eastAsia="仿宋_GB2312"/>
          <w:b w:val="0"/>
          <w:sz w:val="32"/>
          <w:szCs w:val="32"/>
        </w:rPr>
        <w:t>，导致预决算存在差异</w:t>
      </w:r>
      <w:r>
        <w:rPr>
          <w:rFonts w:ascii="仿宋_GB2312" w:eastAsia="仿宋_GB2312"/>
          <w:b w:val="0"/>
          <w:sz w:val="32"/>
          <w:szCs w:val="32"/>
        </w:rPr>
        <w:t>。</w:t>
      </w:r>
    </w:p>
    <w:p w14:paraId="667E21D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251B807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b w:val="0"/>
          <w:sz w:val="32"/>
          <w:szCs w:val="32"/>
          <w:lang w:val="en-US" w:eastAsia="zh-CN"/>
        </w:rPr>
        <w:t>民生保障</w:t>
      </w:r>
      <w:r>
        <w:rPr>
          <w:rFonts w:hint="eastAsia" w:ascii="仿宋_GB2312" w:eastAsia="仿宋_GB2312"/>
          <w:b w:val="0"/>
          <w:sz w:val="32"/>
          <w:szCs w:val="32"/>
        </w:rPr>
        <w:t>、</w:t>
      </w:r>
      <w:r>
        <w:rPr>
          <w:rFonts w:hint="eastAsia" w:ascii="仿宋_GB2312" w:eastAsia="仿宋_GB2312"/>
          <w:b w:val="0"/>
          <w:sz w:val="32"/>
          <w:szCs w:val="32"/>
          <w:lang w:val="en-US" w:eastAsia="zh-CN"/>
        </w:rPr>
        <w:t>机构运行</w:t>
      </w:r>
      <w:r>
        <w:rPr>
          <w:rFonts w:ascii="仿宋_GB2312" w:eastAsia="仿宋_GB2312"/>
          <w:b w:val="0"/>
          <w:sz w:val="32"/>
          <w:szCs w:val="32"/>
        </w:rPr>
        <w:t>等重点支出，体现在有关支出科目中。</w:t>
      </w:r>
    </w:p>
    <w:p w14:paraId="5460B855">
      <w:pPr>
        <w:widowControl/>
        <w:spacing w:before="0" w:beforeLines="0" w:beforeAutospacing="0" w:after="0" w:afterLines="0" w:afterAutospacing="0" w:line="240" w:lineRule="auto"/>
        <w:ind w:firstLine="640" w:firstLineChars="200"/>
        <w:jc w:val="left"/>
        <w:rPr>
          <w:rFonts w:hint="eastAsia" w:ascii="仿宋_GB2312" w:eastAsia="仿宋_GB2312"/>
          <w:sz w:val="32"/>
          <w:szCs w:val="32"/>
          <w:lang w:eastAsia="zh-CN"/>
        </w:rPr>
      </w:pPr>
      <w:r>
        <w:rPr>
          <w:rFonts w:ascii="仿宋_GB2312" w:eastAsia="仿宋_GB2312"/>
          <w:b w:val="0"/>
          <w:sz w:val="32"/>
          <w:szCs w:val="32"/>
        </w:rPr>
        <w:t>按照支出功能分类，科学技术支出（类）应用研究（款）机构运行（项）的支出占本年财政拨款支出总额的比重最高，2025年度决算数为2,419.45万元，占比83.68%，主要用于</w:t>
      </w:r>
      <w:r>
        <w:rPr>
          <w:rFonts w:hint="eastAsia" w:ascii="仿宋_GB2312" w:eastAsia="仿宋_GB2312"/>
          <w:b w:val="0"/>
          <w:sz w:val="32"/>
          <w:szCs w:val="32"/>
          <w:lang w:val="en-US" w:eastAsia="zh-CN"/>
        </w:rPr>
        <w:t>人员工资福利、</w:t>
      </w:r>
      <w:r>
        <w:rPr>
          <w:rFonts w:hint="eastAsia" w:ascii="仿宋_GB2312" w:eastAsia="仿宋_GB2312"/>
          <w:b w:val="0"/>
          <w:sz w:val="32"/>
          <w:szCs w:val="32"/>
        </w:rPr>
        <w:t>一家亲结对认亲交通费</w:t>
      </w:r>
      <w:r>
        <w:rPr>
          <w:rFonts w:hint="eastAsia" w:ascii="仿宋_GB2312" w:eastAsia="仿宋_GB2312"/>
          <w:b w:val="0"/>
          <w:sz w:val="32"/>
          <w:szCs w:val="32"/>
          <w:lang w:eastAsia="zh-CN"/>
        </w:rPr>
        <w:t>。</w:t>
      </w:r>
    </w:p>
    <w:p w14:paraId="78BC566C">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15DB27B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2025年度一般公共预算财政拨款支出2,891.44万元，占本年支出合计的71.02%。与上年相比，增加981.26万元，增长51.37%，主要原因是：</w:t>
      </w:r>
      <w:r>
        <w:rPr>
          <w:rFonts w:hint="eastAsia" w:ascii="仿宋_GB2312" w:eastAsia="仿宋_GB2312"/>
          <w:b w:val="0"/>
          <w:sz w:val="32"/>
          <w:szCs w:val="32"/>
        </w:rPr>
        <w:t>一是2025年机构改革，科技报社并入我单位，相关人员经费和公用经费增加；二是增加“出版印刷费”、2025年“三区”科技人才支持计划项目资金</w:t>
      </w:r>
      <w:r>
        <w:rPr>
          <w:rFonts w:ascii="仿宋_GB2312" w:eastAsia="仿宋_GB2312"/>
          <w:b w:val="0"/>
          <w:sz w:val="32"/>
          <w:szCs w:val="32"/>
        </w:rPr>
        <w:t>。与年初预算相比，年初预算数2,444.69万元，决算数2,891.44万元，预决算差异率18.27%，主要原因是：</w:t>
      </w:r>
      <w:r>
        <w:rPr>
          <w:rFonts w:hint="eastAsia" w:ascii="仿宋_GB2312" w:eastAsia="仿宋_GB2312"/>
          <w:b w:val="0"/>
          <w:sz w:val="32"/>
          <w:szCs w:val="32"/>
        </w:rPr>
        <w:t>一是年中追加人员工资、社保、职业年金、丧葬费抚恤金等，导致预决算存在差异；二是年中追加一家亲结对认亲交通费、A项目资金，导致预决算存在差异</w:t>
      </w:r>
      <w:r>
        <w:rPr>
          <w:rFonts w:ascii="仿宋_GB2312" w:eastAsia="仿宋_GB2312"/>
          <w:b w:val="0"/>
          <w:sz w:val="32"/>
          <w:szCs w:val="32"/>
        </w:rPr>
        <w:t>。</w:t>
      </w:r>
    </w:p>
    <w:p w14:paraId="0DBF8670">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5F22D5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1.科学技术支出（类）2,578.16万元，占89.17%。</w:t>
      </w:r>
    </w:p>
    <w:p w14:paraId="7A03EE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2.文化旅游体育与传媒支出（类）313.28万元，占10.83%。</w:t>
      </w:r>
    </w:p>
    <w:p w14:paraId="79D3AD4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1BC5DB3F">
      <w:pPr>
        <w:widowControl/>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科学技术支出（类）科学技术管理事务（款）其他科学技术管理事务支出（项）：支出决算数为22.51万元，比上年决算增加22.51万元，增长100.00%，主要原因是：</w:t>
      </w:r>
      <w:r>
        <w:rPr>
          <w:rFonts w:hint="eastAsia" w:ascii="仿宋_GB2312" w:eastAsia="仿宋_GB2312"/>
          <w:b w:val="0"/>
          <w:sz w:val="32"/>
          <w:szCs w:val="32"/>
          <w:lang w:val="en-US" w:eastAsia="zh-CN"/>
        </w:rPr>
        <w:t>本</w:t>
      </w:r>
      <w:r>
        <w:rPr>
          <w:rFonts w:hint="eastAsia" w:ascii="仿宋_GB2312" w:eastAsia="仿宋_GB2312"/>
          <w:b w:val="0"/>
          <w:sz w:val="32"/>
          <w:szCs w:val="32"/>
        </w:rPr>
        <w:t>单位较上年增加科技计划管理经费</w:t>
      </w:r>
      <w:r>
        <w:rPr>
          <w:rFonts w:hint="eastAsia" w:ascii="仿宋_GB2312" w:eastAsia="仿宋_GB2312"/>
          <w:b w:val="0"/>
          <w:sz w:val="32"/>
          <w:szCs w:val="32"/>
          <w:lang w:eastAsia="zh-CN"/>
        </w:rPr>
        <w:t>。</w:t>
      </w:r>
    </w:p>
    <w:p w14:paraId="31BF20DF">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rPr>
      </w:pPr>
      <w:r>
        <w:rPr>
          <w:rFonts w:ascii="仿宋_GB2312" w:eastAsia="仿宋_GB2312"/>
          <w:b w:val="0"/>
          <w:sz w:val="32"/>
          <w:szCs w:val="32"/>
        </w:rPr>
        <w:t>2.科学技术支出（类）基础研究（款）科技人才队伍建设（项）：支出决算数为26.44万元，比上年决算增加6.54万元，增长32.86%，主要原因是：</w:t>
      </w:r>
      <w:r>
        <w:rPr>
          <w:rFonts w:hint="eastAsia" w:ascii="仿宋_GB2312" w:eastAsia="仿宋_GB2312"/>
          <w:b w:val="0"/>
          <w:sz w:val="32"/>
          <w:szCs w:val="32"/>
          <w:lang w:val="en-US" w:eastAsia="zh-CN"/>
        </w:rPr>
        <w:t>本单位较上年增加“</w:t>
      </w:r>
      <w:r>
        <w:rPr>
          <w:rFonts w:hint="eastAsia" w:ascii="仿宋_GB2312" w:eastAsia="仿宋_GB2312"/>
          <w:b w:val="0"/>
          <w:sz w:val="32"/>
          <w:szCs w:val="32"/>
        </w:rPr>
        <w:t>新疆人才发展基金2025年度第一轮支持资金—天山英才培养计划</w:t>
      </w:r>
      <w:r>
        <w:rPr>
          <w:rFonts w:hint="eastAsia" w:ascii="仿宋_GB2312" w:eastAsia="仿宋_GB2312"/>
          <w:b w:val="0"/>
          <w:sz w:val="32"/>
          <w:szCs w:val="32"/>
          <w:lang w:val="en-US" w:eastAsia="zh-CN"/>
        </w:rPr>
        <w:t>”项目资金。</w:t>
      </w:r>
    </w:p>
    <w:p w14:paraId="7968043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3.科学技术支出（类）应用研究（款）机构运行（项）：支出决算数为2,419.45万元，比上年决算增加560.01万元，增长30.12%，主要原因是：</w:t>
      </w:r>
      <w:r>
        <w:rPr>
          <w:rFonts w:hint="eastAsia" w:ascii="仿宋_GB2312" w:eastAsia="仿宋_GB2312"/>
          <w:b w:val="0"/>
          <w:sz w:val="32"/>
          <w:szCs w:val="32"/>
        </w:rPr>
        <w:t>一是2025年机构改革，科技报社并入我单位，相关人员经</w:t>
      </w:r>
      <w:bookmarkStart w:id="0" w:name="_GoBack"/>
      <w:bookmarkEnd w:id="0"/>
      <w:r>
        <w:rPr>
          <w:rFonts w:hint="eastAsia" w:ascii="仿宋_GB2312" w:eastAsia="仿宋_GB2312"/>
          <w:b w:val="0"/>
          <w:sz w:val="32"/>
          <w:szCs w:val="32"/>
        </w:rPr>
        <w:t>费、公用经费增加；二是增加一家亲结对认亲交通费。</w:t>
      </w:r>
    </w:p>
    <w:p w14:paraId="0A42F87E">
      <w:pPr>
        <w:widowControl/>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4.科学技术支出（类）应用研究（款）社会公益研究（项）：支出决算数为6.00万元，比上年决算增加6.00万元，增长100.00%，主要原因是：</w:t>
      </w:r>
      <w:r>
        <w:rPr>
          <w:rFonts w:hint="eastAsia" w:ascii="仿宋_GB2312" w:eastAsia="仿宋_GB2312"/>
          <w:b w:val="0"/>
          <w:sz w:val="32"/>
          <w:szCs w:val="32"/>
          <w:lang w:val="en-US" w:eastAsia="zh-CN"/>
        </w:rPr>
        <w:t>本单位较上年增加A项目资金。</w:t>
      </w:r>
    </w:p>
    <w:p w14:paraId="760021E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5.科学技术支出（类）科技条件与服务（款）科技条件专项（项）：支出决算数为94.86万元，比上年决算增加94.86万元，增长100.00%，主要原因是：</w:t>
      </w:r>
      <w:r>
        <w:rPr>
          <w:rFonts w:hint="eastAsia" w:ascii="仿宋_GB2312" w:eastAsia="仿宋_GB2312"/>
          <w:b w:val="0"/>
          <w:sz w:val="32"/>
          <w:szCs w:val="32"/>
        </w:rPr>
        <w:t>2025年机构改革，科技报社并入我单位，增加“出版印刷费”项目</w:t>
      </w:r>
      <w:r>
        <w:rPr>
          <w:rFonts w:hint="eastAsia" w:ascii="仿宋_GB2312" w:eastAsia="仿宋_GB2312"/>
          <w:b w:val="0"/>
          <w:sz w:val="32"/>
          <w:szCs w:val="32"/>
          <w:lang w:val="en-US" w:eastAsia="zh-CN"/>
        </w:rPr>
        <w:t>资金</w:t>
      </w:r>
      <w:r>
        <w:rPr>
          <w:rFonts w:hint="eastAsia" w:ascii="仿宋_GB2312" w:eastAsia="仿宋_GB2312"/>
          <w:b w:val="0"/>
          <w:sz w:val="32"/>
          <w:szCs w:val="32"/>
        </w:rPr>
        <w:t>。</w:t>
      </w:r>
    </w:p>
    <w:p w14:paraId="050FC675">
      <w:pPr>
        <w:widowControl/>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6.科学技术支出（类）科技条件与服务（款）其他科技条件与服务支出（项）：支出决算数为8.89万元，比上年决算减少21.95万元，下降71.17%，主要原因是：</w:t>
      </w:r>
      <w:r>
        <w:rPr>
          <w:rFonts w:hint="eastAsia" w:ascii="仿宋_GB2312" w:eastAsia="仿宋_GB2312"/>
          <w:b w:val="0"/>
          <w:sz w:val="32"/>
          <w:szCs w:val="32"/>
          <w:lang w:val="en-US" w:eastAsia="zh-CN"/>
        </w:rPr>
        <w:t>本单位较上年减少</w:t>
      </w:r>
      <w:r>
        <w:rPr>
          <w:rFonts w:hint="eastAsia" w:ascii="仿宋_GB2312" w:eastAsia="仿宋_GB2312"/>
          <w:b w:val="0"/>
          <w:sz w:val="32"/>
          <w:szCs w:val="32"/>
        </w:rPr>
        <w:t>2024年</w:t>
      </w:r>
      <w:r>
        <w:rPr>
          <w:rFonts w:hint="eastAsia" w:ascii="仿宋_GB2312" w:eastAsia="仿宋_GB2312"/>
          <w:b w:val="0"/>
          <w:sz w:val="32"/>
          <w:szCs w:val="32"/>
          <w:lang w:eastAsia="zh-CN"/>
        </w:rPr>
        <w:t>“</w:t>
      </w:r>
      <w:r>
        <w:rPr>
          <w:rFonts w:hint="eastAsia" w:ascii="仿宋_GB2312" w:eastAsia="仿宋_GB2312"/>
          <w:b w:val="0"/>
          <w:sz w:val="32"/>
          <w:szCs w:val="32"/>
        </w:rPr>
        <w:t>三区</w:t>
      </w:r>
      <w:r>
        <w:rPr>
          <w:rFonts w:hint="eastAsia" w:ascii="仿宋_GB2312" w:eastAsia="仿宋_GB2312"/>
          <w:b w:val="0"/>
          <w:sz w:val="32"/>
          <w:szCs w:val="32"/>
          <w:lang w:eastAsia="zh-CN"/>
        </w:rPr>
        <w:t>”</w:t>
      </w:r>
      <w:r>
        <w:rPr>
          <w:rFonts w:hint="eastAsia" w:ascii="仿宋_GB2312" w:eastAsia="仿宋_GB2312"/>
          <w:b w:val="0"/>
          <w:sz w:val="32"/>
          <w:szCs w:val="32"/>
        </w:rPr>
        <w:t>科技人才支持计划</w:t>
      </w:r>
      <w:r>
        <w:rPr>
          <w:rFonts w:hint="eastAsia" w:ascii="仿宋_GB2312" w:eastAsia="仿宋_GB2312"/>
          <w:b w:val="0"/>
          <w:sz w:val="32"/>
          <w:szCs w:val="32"/>
          <w:lang w:val="en-US" w:eastAsia="zh-CN"/>
        </w:rPr>
        <w:t>项目资金。</w:t>
      </w:r>
    </w:p>
    <w:p w14:paraId="4FBA6BF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7.文化旅游体育与传媒支出（类）新闻出版电影（款）出版发行（项）：支出决算数为313.28万元，比上年决算增加313.28万元，增长100.00%，主要原因是：</w:t>
      </w:r>
      <w:r>
        <w:rPr>
          <w:rFonts w:hint="eastAsia" w:ascii="仿宋_GB2312" w:eastAsia="仿宋_GB2312"/>
          <w:b w:val="0"/>
          <w:sz w:val="32"/>
          <w:szCs w:val="32"/>
        </w:rPr>
        <w:t>2025年机构改革，科技报社并入我单位，基本工资、社保、公积金、办公费等相关人员经费、公用经费增加。</w:t>
      </w:r>
    </w:p>
    <w:p w14:paraId="2AF53C3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F1961A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2,732.73万元，其中：人员经费2,578.51万元，包括：基本工资、津贴补贴、奖金、绩效工资、机关事业单位基本养老保险缴费、职业年金缴费、职工基本医疗保险缴费、公务员医疗补助缴费、其他社会保障缴费、住房公积金、其他工资福利支出、离休费、退休费、抚恤金、生活补助、奖励金和其他对个人和家庭的补助。</w:t>
      </w:r>
    </w:p>
    <w:p w14:paraId="1E3E242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公用经费154.22万元，包括：办公费、水费、电费、邮电费、取暖费、物业管理费、差旅费、维修（护）费、培训费、公务接待费、工会经费、福利费、公务用车运行维护费和其他商品和服务支出。</w:t>
      </w:r>
    </w:p>
    <w:p w14:paraId="70FD619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5815EE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6D59878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589FB65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4338B09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055720B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2025年度财政拨款“三公”经费支出5.85万元，比上年增加1.69万元，增长40.63%，主要原因是：</w:t>
      </w:r>
      <w:r>
        <w:rPr>
          <w:rFonts w:hint="eastAsia" w:ascii="仿宋_GB2312" w:eastAsia="仿宋_GB2312"/>
          <w:b w:val="0"/>
          <w:sz w:val="32"/>
          <w:szCs w:val="32"/>
        </w:rPr>
        <w:t>一是2025年机构改革，科技报社车辆并入我单位，车辆燃油费、维修维护费增加</w:t>
      </w:r>
      <w:r>
        <w:rPr>
          <w:rFonts w:ascii="仿宋_GB2312" w:eastAsia="仿宋_GB2312"/>
          <w:b w:val="0"/>
          <w:sz w:val="32"/>
          <w:szCs w:val="32"/>
        </w:rPr>
        <w:t>。其中：因公出国（境）费用支出0.00万元,占0.00%，与上年相比无变化，主要原因是：</w:t>
      </w:r>
      <w:r>
        <w:rPr>
          <w:rFonts w:hint="eastAsia" w:ascii="仿宋_GB2312" w:eastAsia="仿宋_GB2312"/>
          <w:b w:val="0"/>
          <w:sz w:val="32"/>
          <w:szCs w:val="32"/>
        </w:rPr>
        <w:t>2024年度与2025年度均未安排公出国（境）费用</w:t>
      </w:r>
      <w:r>
        <w:rPr>
          <w:rFonts w:ascii="仿宋_GB2312" w:eastAsia="仿宋_GB2312"/>
          <w:b w:val="0"/>
          <w:sz w:val="32"/>
          <w:szCs w:val="32"/>
        </w:rPr>
        <w:t>；公务用车购置及运行维护费支出5.78万元，占98.80%，比上年增加1.70万元，增长41.67%，主要原因是：</w:t>
      </w:r>
      <w:r>
        <w:rPr>
          <w:rFonts w:hint="eastAsia" w:ascii="仿宋_GB2312" w:eastAsia="仿宋_GB2312"/>
          <w:b w:val="0"/>
          <w:sz w:val="32"/>
          <w:szCs w:val="32"/>
        </w:rPr>
        <w:t>2025年机构改革，科技报社车辆并入我单位，车辆燃油费、维修维护费增加</w:t>
      </w:r>
      <w:r>
        <w:rPr>
          <w:rFonts w:ascii="仿宋_GB2312" w:eastAsia="仿宋_GB2312"/>
          <w:b w:val="0"/>
          <w:sz w:val="32"/>
          <w:szCs w:val="32"/>
        </w:rPr>
        <w:t>；公务接待费支出0.07万元，占1.20%，比上年减少0.01万元，下降12.50%，主要原因是：</w:t>
      </w:r>
      <w:r>
        <w:rPr>
          <w:rFonts w:hint="eastAsia" w:ascii="仿宋_GB2312" w:eastAsia="仿宋_GB2312"/>
          <w:b w:val="0"/>
          <w:sz w:val="32"/>
          <w:szCs w:val="32"/>
        </w:rPr>
        <w:t>本单位严格落实中央八项规定精神，厉行节约，减少公务接待费</w:t>
      </w:r>
      <w:r>
        <w:rPr>
          <w:rFonts w:ascii="仿宋_GB2312" w:eastAsia="仿宋_GB2312"/>
          <w:b w:val="0"/>
          <w:sz w:val="32"/>
          <w:szCs w:val="32"/>
        </w:rPr>
        <w:t>。</w:t>
      </w:r>
    </w:p>
    <w:p w14:paraId="39178941">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6DD2A4B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因公出国（境）费用。单位全年安排的因公出国（境）团组0个，因公出国（境）0人次。</w:t>
      </w:r>
    </w:p>
    <w:p w14:paraId="49B46C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公务用车购置及运行维护费5.78万元，其中：公务用车购置费0.00万元，公务用车运行维护费5.78万元。公务用车运行维护费开支内容包括</w:t>
      </w:r>
      <w:r>
        <w:rPr>
          <w:rFonts w:hint="eastAsia" w:ascii="仿宋_GB2312" w:eastAsia="仿宋_GB2312"/>
          <w:b w:val="0"/>
          <w:sz w:val="32"/>
          <w:szCs w:val="32"/>
        </w:rPr>
        <w:t>燃料费、公车维修费、车辆保险费等</w:t>
      </w:r>
      <w:r>
        <w:rPr>
          <w:rFonts w:ascii="仿宋_GB2312" w:eastAsia="仿宋_GB2312"/>
          <w:b w:val="0"/>
          <w:sz w:val="32"/>
          <w:szCs w:val="32"/>
        </w:rPr>
        <w:t>。公务用车购置数0辆，公务用车保有量5辆。国有资产占用情况中固定资产车辆5辆，与公务用车保有量差异原因是：</w:t>
      </w:r>
      <w:r>
        <w:rPr>
          <w:rFonts w:hint="eastAsia" w:ascii="仿宋_GB2312" w:eastAsia="仿宋_GB2312"/>
          <w:b w:val="0"/>
          <w:sz w:val="32"/>
          <w:szCs w:val="32"/>
        </w:rPr>
        <w:t>我单位公务用车保有量与国有资产占用情况中固定资产车辆数量一致，无差异</w:t>
      </w:r>
      <w:r>
        <w:rPr>
          <w:rFonts w:ascii="仿宋_GB2312" w:eastAsia="仿宋_GB2312"/>
          <w:b w:val="0"/>
          <w:sz w:val="32"/>
          <w:szCs w:val="32"/>
        </w:rPr>
        <w:t>。</w:t>
      </w:r>
    </w:p>
    <w:p w14:paraId="3970375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公务接待费0.07万元，开支内容包括</w:t>
      </w:r>
      <w:r>
        <w:rPr>
          <w:rFonts w:hint="eastAsia" w:ascii="仿宋_GB2312" w:eastAsia="仿宋_GB2312"/>
          <w:b w:val="0"/>
          <w:sz w:val="32"/>
          <w:szCs w:val="32"/>
        </w:rPr>
        <w:t>因工作需要，接待乌兹别克斯坦地质大学与地球物理研究所研究人员产生的就餐费</w:t>
      </w:r>
      <w:r>
        <w:rPr>
          <w:rFonts w:ascii="仿宋_GB2312" w:eastAsia="仿宋_GB2312"/>
          <w:b w:val="0"/>
          <w:sz w:val="32"/>
          <w:szCs w:val="32"/>
        </w:rPr>
        <w:t>。单位全年安排的国内公务接待1批次，5人次。</w:t>
      </w:r>
    </w:p>
    <w:p w14:paraId="26AD649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与全年预算相比，财政拨款“三公”经费支出全年预算数5.86万元，决算数5.85万元，预决算差异率-0.17%，主要原因是：</w:t>
      </w:r>
      <w:r>
        <w:rPr>
          <w:rFonts w:hint="eastAsia" w:ascii="仿宋_GB2312" w:eastAsia="仿宋_GB2312"/>
          <w:b w:val="0"/>
          <w:sz w:val="32"/>
          <w:szCs w:val="32"/>
        </w:rPr>
        <w:t>较预算减少无公务接待</w:t>
      </w:r>
      <w:r>
        <w:rPr>
          <w:rFonts w:hint="eastAsia" w:ascii="仿宋_GB2312" w:eastAsia="仿宋_GB2312"/>
          <w:b w:val="0"/>
          <w:sz w:val="32"/>
          <w:szCs w:val="32"/>
          <w:lang w:val="en-US" w:eastAsia="zh-CN"/>
        </w:rPr>
        <w:t>就餐费</w:t>
      </w:r>
      <w:r>
        <w:rPr>
          <w:rFonts w:ascii="仿宋_GB2312" w:eastAsia="仿宋_GB2312"/>
          <w:b w:val="0"/>
          <w:sz w:val="32"/>
          <w:szCs w:val="32"/>
        </w:rPr>
        <w:t>。其中：因公出国（境）费用全年预算数0.00万元，决算数0.00万元，预决算差异率0.00%，主要原因是：</w:t>
      </w:r>
      <w:r>
        <w:rPr>
          <w:rFonts w:hint="eastAsia" w:ascii="仿宋_GB2312" w:eastAsia="仿宋_GB2312"/>
          <w:b w:val="0"/>
          <w:sz w:val="32"/>
          <w:szCs w:val="32"/>
        </w:rPr>
        <w:t>我单位无因公出国（境）费用</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我单位无公务用车购置费</w:t>
      </w:r>
      <w:r>
        <w:rPr>
          <w:rFonts w:ascii="仿宋_GB2312" w:eastAsia="仿宋_GB2312"/>
          <w:b w:val="0"/>
          <w:sz w:val="32"/>
          <w:szCs w:val="32"/>
        </w:rPr>
        <w:t>；公务用车运行维护费全年预算数5.78万元，决算数5.78万元，预决算差异率0.00%，主要原因是：</w:t>
      </w:r>
      <w:r>
        <w:rPr>
          <w:rFonts w:hint="eastAsia" w:ascii="仿宋_GB2312" w:eastAsia="仿宋_GB2312"/>
          <w:b w:val="0"/>
          <w:sz w:val="32"/>
          <w:szCs w:val="32"/>
        </w:rPr>
        <w:t>严格按照预算执行，预决算无差异</w:t>
      </w:r>
      <w:r>
        <w:rPr>
          <w:rFonts w:ascii="仿宋_GB2312" w:eastAsia="仿宋_GB2312"/>
          <w:b w:val="0"/>
          <w:sz w:val="32"/>
          <w:szCs w:val="32"/>
        </w:rPr>
        <w:t>；公务接待费全年预算数0.08万元，决算数0.07万元，预决算差异率-12.50%，主要原因是：</w:t>
      </w:r>
      <w:r>
        <w:rPr>
          <w:rFonts w:hint="eastAsia" w:ascii="仿宋_GB2312" w:eastAsia="仿宋_GB2312"/>
          <w:b w:val="0"/>
          <w:sz w:val="32"/>
          <w:szCs w:val="32"/>
        </w:rPr>
        <w:t>较预算减少公务接待</w:t>
      </w:r>
      <w:r>
        <w:rPr>
          <w:rFonts w:hint="eastAsia" w:ascii="仿宋_GB2312" w:eastAsia="仿宋_GB2312"/>
          <w:b w:val="0"/>
          <w:sz w:val="32"/>
          <w:szCs w:val="32"/>
          <w:lang w:val="en-US" w:eastAsia="zh-CN"/>
        </w:rPr>
        <w:t>就餐费</w:t>
      </w:r>
      <w:r>
        <w:rPr>
          <w:rFonts w:ascii="仿宋_GB2312" w:eastAsia="仿宋_GB2312"/>
          <w:b w:val="0"/>
          <w:sz w:val="32"/>
          <w:szCs w:val="32"/>
        </w:rPr>
        <w:t>。</w:t>
      </w:r>
    </w:p>
    <w:p w14:paraId="0D2F6E8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396B0D11">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08E69F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2025年度新疆维吾尔自治区科技发展战略研究院（新疆维吾尔自治区青藏科考研究中心）（事业单位）公用经费支出154.22万元，比上年增加9.08万元，增长6.26%，主要原因是：</w:t>
      </w:r>
      <w:r>
        <w:rPr>
          <w:rFonts w:hint="eastAsia" w:ascii="仿宋_GB2312" w:eastAsia="仿宋_GB2312"/>
          <w:b w:val="0"/>
          <w:sz w:val="32"/>
          <w:szCs w:val="32"/>
        </w:rPr>
        <w:t>2025年机构改革，科技报社人员</w:t>
      </w:r>
      <w:r>
        <w:rPr>
          <w:rFonts w:hint="eastAsia" w:ascii="仿宋_GB2312" w:eastAsia="仿宋_GB2312"/>
          <w:b w:val="0"/>
          <w:sz w:val="32"/>
          <w:szCs w:val="32"/>
          <w:lang w:val="en-US" w:eastAsia="zh-CN"/>
        </w:rPr>
        <w:t>与</w:t>
      </w:r>
      <w:r>
        <w:rPr>
          <w:rFonts w:hint="eastAsia" w:ascii="仿宋_GB2312" w:eastAsia="仿宋_GB2312"/>
          <w:b w:val="0"/>
          <w:sz w:val="32"/>
          <w:szCs w:val="32"/>
        </w:rPr>
        <w:t>资产并入我单位，公用经费支出相应增加</w:t>
      </w:r>
      <w:r>
        <w:rPr>
          <w:rFonts w:ascii="仿宋_GB2312" w:eastAsia="仿宋_GB2312"/>
          <w:b w:val="0"/>
          <w:sz w:val="32"/>
          <w:szCs w:val="32"/>
        </w:rPr>
        <w:t>。</w:t>
      </w:r>
    </w:p>
    <w:p w14:paraId="62FB978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3C64CE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2025年度政府采购支出总额634.45万元，其中：政府采购货物支出93.44万元、政府采购工程支出0.00万元、政府采购服务支出541.01万元。</w:t>
      </w:r>
    </w:p>
    <w:p w14:paraId="4C90EDC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授予中小企业合同金额621.28万元，占政府采购支出总额的97.92%，其中：授予小微企业合同金额511.28万元，占政府采购支出总额的80.59%。</w:t>
      </w:r>
    </w:p>
    <w:p w14:paraId="3B79196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7E3CB2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5,585.00平方米，价值749.45万元。车辆5辆，价值106.90万元，其中：副部（省）级及以上领导用车0辆、主要负责人用车0辆、机要通信用车0辆、应急保障用车0辆、执法执勤用车0辆、特种专业技术用车0辆、离退休干部服务用车0辆、其他用车5辆，其他用车主要是：</w:t>
      </w:r>
      <w:r>
        <w:rPr>
          <w:rFonts w:hint="eastAsia" w:ascii="仿宋_GB2312" w:eastAsia="仿宋_GB2312"/>
          <w:b w:val="0"/>
          <w:sz w:val="32"/>
          <w:szCs w:val="32"/>
        </w:rPr>
        <w:t>一般公务用车</w:t>
      </w:r>
      <w:r>
        <w:rPr>
          <w:rFonts w:ascii="仿宋_GB2312" w:eastAsia="仿宋_GB2312"/>
          <w:b w:val="0"/>
          <w:sz w:val="32"/>
          <w:szCs w:val="32"/>
        </w:rPr>
        <w:t>;单价100万元（含）以上设备（不含车辆）0台（套）。</w:t>
      </w:r>
    </w:p>
    <w:p w14:paraId="77C8434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7A9E80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根据预算绩效管理要求，本单位2025年度预算绩效管理形成预算绩效评价项目</w:t>
      </w:r>
      <w:r>
        <w:rPr>
          <w:rFonts w:hint="eastAsia" w:ascii="仿宋_GB2312" w:eastAsia="仿宋_GB2312"/>
          <w:b w:val="0"/>
          <w:sz w:val="32"/>
          <w:szCs w:val="32"/>
          <w:lang w:val="en-US" w:eastAsia="zh-CN"/>
        </w:rPr>
        <w:t>6</w:t>
      </w:r>
      <w:r>
        <w:rPr>
          <w:rFonts w:ascii="仿宋_GB2312" w:eastAsia="仿宋_GB2312"/>
          <w:b w:val="0"/>
          <w:sz w:val="32"/>
          <w:szCs w:val="32"/>
        </w:rPr>
        <w:t>个，全年预算数</w:t>
      </w:r>
      <w:r>
        <w:rPr>
          <w:rFonts w:hint="eastAsia" w:ascii="仿宋_GB2312" w:eastAsia="仿宋_GB2312"/>
          <w:b w:val="0"/>
          <w:sz w:val="32"/>
          <w:szCs w:val="32"/>
        </w:rPr>
        <w:t>1,501.00</w:t>
      </w:r>
      <w:r>
        <w:rPr>
          <w:rFonts w:ascii="仿宋_GB2312" w:eastAsia="仿宋_GB2312"/>
          <w:b w:val="0"/>
          <w:sz w:val="32"/>
          <w:szCs w:val="32"/>
        </w:rPr>
        <w:t>万元，全年执行数</w:t>
      </w:r>
      <w:r>
        <w:rPr>
          <w:rFonts w:hint="eastAsia" w:ascii="仿宋_GB2312" w:eastAsia="仿宋_GB2312"/>
          <w:b w:val="0"/>
          <w:sz w:val="32"/>
          <w:szCs w:val="32"/>
        </w:rPr>
        <w:t>1,390.57</w:t>
      </w:r>
      <w:r>
        <w:rPr>
          <w:rFonts w:ascii="仿宋_GB2312" w:eastAsia="仿宋_GB2312"/>
          <w:b w:val="0"/>
          <w:sz w:val="32"/>
          <w:szCs w:val="32"/>
        </w:rPr>
        <w:t>万元。预算绩效管理取得的成效：</w:t>
      </w:r>
      <w:r>
        <w:rPr>
          <w:rFonts w:hint="eastAsia" w:ascii="仿宋_GB2312" w:eastAsia="仿宋_GB2312"/>
          <w:b w:val="0"/>
          <w:sz w:val="32"/>
          <w:szCs w:val="32"/>
        </w:rPr>
        <w:t>一是强化绩效目标设置、运行监控及绩效评价全流程管理，压实绩效主体责任，切实提升资金使用效益；二是推动预算管理与业务工作深度融合，财政资源配置效能得到有效发挥</w:t>
      </w:r>
      <w:r>
        <w:rPr>
          <w:rFonts w:ascii="仿宋_GB2312" w:eastAsia="仿宋_GB2312"/>
          <w:b w:val="0"/>
          <w:sz w:val="32"/>
          <w:szCs w:val="32"/>
        </w:rPr>
        <w:t>。发现的问题及原因：</w:t>
      </w:r>
      <w:r>
        <w:rPr>
          <w:rFonts w:hint="eastAsia" w:ascii="仿宋_GB2312" w:eastAsia="仿宋_GB2312"/>
          <w:b w:val="0"/>
          <w:sz w:val="32"/>
          <w:szCs w:val="32"/>
        </w:rPr>
        <w:t>一是绩效目标编制精准度有待提升，部分项目绩效指标设置不够细化量化，原因是业务与财务协同联动不够紧密；二是绩效运行监控深度不足，重申报轻管控现象依然存在，原因是绩效管理理念认识还不够到位</w:t>
      </w:r>
      <w:r>
        <w:rPr>
          <w:rFonts w:ascii="仿宋_GB2312" w:eastAsia="仿宋_GB2312"/>
          <w:b w:val="0"/>
          <w:sz w:val="32"/>
          <w:szCs w:val="32"/>
        </w:rPr>
        <w:t>。下一步改进措施：</w:t>
      </w:r>
      <w:r>
        <w:rPr>
          <w:rFonts w:hint="eastAsia" w:ascii="仿宋_GB2312" w:eastAsia="仿宋_GB2312"/>
          <w:b w:val="0"/>
          <w:sz w:val="32"/>
          <w:szCs w:val="32"/>
        </w:rPr>
        <w:t>一是加强财务部门与业务部门的沟通协作，提升预算绩效编制精准度；二是提高职工预算绩效管理意识。具体附项目支出绩效自评表</w:t>
      </w:r>
      <w:r>
        <w:rPr>
          <w:rFonts w:ascii="仿宋_GB2312" w:eastAsia="仿宋_GB2312"/>
          <w:b w:val="0"/>
          <w:sz w:val="32"/>
          <w:szCs w:val="32"/>
        </w:rPr>
        <w:t>。</w:t>
      </w:r>
    </w:p>
    <w:p w14:paraId="142510A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3BAE8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3B1F408C">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4DB4A5BF">
      <w:pPr>
        <w:widowControl/>
      </w:pPr>
      <w:r>
        <w:rPr>
          <w:b w:val="0"/>
          <w:sz w:val="0"/>
          <w:szCs w:val="0"/>
        </w:rPr>
        <w:br w:type="page"/>
      </w:r>
    </w:p>
    <w:p w14:paraId="219CE1A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5B76C47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07530C0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63C4669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439E8C0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2AA2C8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618444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0898EEA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20B0134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4BC8DD4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74EB59B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1101667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6E3968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0C4E9DF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48E7838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09193006">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E5B13C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DFD602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24E059C0">
      <w:pPr>
        <w:widowControl/>
      </w:pPr>
      <w:r>
        <w:rPr>
          <w:b w:val="0"/>
          <w:sz w:val="0"/>
          <w:szCs w:val="0"/>
        </w:rPr>
        <w:br w:type="page"/>
      </w:r>
    </w:p>
    <w:p w14:paraId="1994C22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2778620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2073F9E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19B3482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20B1380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643F6E4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75AF248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023CE0D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FE1468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D3FB6E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21A0580"/>
    <w:rsid w:val="069E3612"/>
    <w:rsid w:val="07443BC8"/>
    <w:rsid w:val="078E4D13"/>
    <w:rsid w:val="105C6685"/>
    <w:rsid w:val="106B768D"/>
    <w:rsid w:val="1102722C"/>
    <w:rsid w:val="12AB56A1"/>
    <w:rsid w:val="13781A27"/>
    <w:rsid w:val="152261FF"/>
    <w:rsid w:val="16625746"/>
    <w:rsid w:val="1A507792"/>
    <w:rsid w:val="1DD71A40"/>
    <w:rsid w:val="1E1265D5"/>
    <w:rsid w:val="1ECE074D"/>
    <w:rsid w:val="20EF30CC"/>
    <w:rsid w:val="228C104B"/>
    <w:rsid w:val="240F3CE2"/>
    <w:rsid w:val="246C2EE2"/>
    <w:rsid w:val="26D25B54"/>
    <w:rsid w:val="280821E0"/>
    <w:rsid w:val="285D54B9"/>
    <w:rsid w:val="29874C44"/>
    <w:rsid w:val="2B9B5E5B"/>
    <w:rsid w:val="2D485B6F"/>
    <w:rsid w:val="31E01BEE"/>
    <w:rsid w:val="32A277CA"/>
    <w:rsid w:val="364D41F6"/>
    <w:rsid w:val="3B190B4B"/>
    <w:rsid w:val="3E8B6203"/>
    <w:rsid w:val="44E06E0E"/>
    <w:rsid w:val="492928A1"/>
    <w:rsid w:val="4A1946C3"/>
    <w:rsid w:val="4AB4263E"/>
    <w:rsid w:val="4C03562B"/>
    <w:rsid w:val="55DA7DAE"/>
    <w:rsid w:val="55E015FD"/>
    <w:rsid w:val="56E0625E"/>
    <w:rsid w:val="571701DC"/>
    <w:rsid w:val="58B73C1F"/>
    <w:rsid w:val="5A4C4641"/>
    <w:rsid w:val="5AE96334"/>
    <w:rsid w:val="5C141819"/>
    <w:rsid w:val="5C8F3C7A"/>
    <w:rsid w:val="61EF785F"/>
    <w:rsid w:val="626E39F7"/>
    <w:rsid w:val="686B482C"/>
    <w:rsid w:val="70390D6C"/>
    <w:rsid w:val="70B83235"/>
    <w:rsid w:val="71624561"/>
    <w:rsid w:val="722F0678"/>
    <w:rsid w:val="72D6671B"/>
    <w:rsid w:val="75B96BD7"/>
    <w:rsid w:val="79B00498"/>
    <w:rsid w:val="7D295F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5813</Words>
  <Characters>6535</Characters>
  <TotalTime>12</TotalTime>
  <ScaleCrop>false</ScaleCrop>
  <LinksUpToDate>false</LinksUpToDate>
  <CharactersWithSpaces>6542</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2026-08-24T04:28:00Z</dcterms:created>
  <dc:creator>Administrator</dc:creator>
  <cp:lastModifiedBy>雨。</cp:lastModifiedBy>
  <dcterms:modified xsi:type="dcterms:W3CDTF">2026-09-02T02:48:47Z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C5B32C2EE5784B35B2496B5C719F4937_12</vt:lpwstr>
  </property>
  <property fmtid="{D5CDD505-2E9C-101B-9397-08002B2CF9AE}" pid="4" name="KSOTemplateDocerSaveRecord">
    <vt:lpwstr>eyJoZGlkIjoiYTZjZThjMDFjYjU0NDRjYWE1YjFlZmFjNmU0NDBiYTgiLCJ1c2VySWQiOiI0NjExNzA3OTgifQ==</vt:lpwstr>
  </property>
</Properties>
</file>