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4C248">
      <w:pPr>
        <w:spacing w:after="0" w:line="240" w:lineRule="auto"/>
        <w:rPr>
          <w:rFonts w:ascii="宋体" w:eastAsia="宋体"/>
          <w:sz w:val="32"/>
          <w:szCs w:val="32"/>
        </w:rPr>
      </w:pPr>
    </w:p>
    <w:p w14:paraId="7F1DF947">
      <w:pPr>
        <w:spacing w:after="0" w:line="240" w:lineRule="auto"/>
        <w:rPr>
          <w:rFonts w:ascii="宋体" w:eastAsia="宋体"/>
          <w:sz w:val="44"/>
          <w:szCs w:val="44"/>
        </w:rPr>
      </w:pPr>
    </w:p>
    <w:p w14:paraId="3BF110AE">
      <w:pPr>
        <w:spacing w:after="0" w:line="240" w:lineRule="auto"/>
        <w:rPr>
          <w:rFonts w:ascii="宋体" w:eastAsia="宋体"/>
          <w:sz w:val="44"/>
          <w:szCs w:val="44"/>
        </w:rPr>
      </w:pPr>
    </w:p>
    <w:p w14:paraId="2A19AEAA">
      <w:pPr>
        <w:spacing w:after="0" w:line="240" w:lineRule="auto"/>
        <w:rPr>
          <w:rFonts w:ascii="宋体" w:eastAsia="宋体"/>
          <w:sz w:val="44"/>
          <w:szCs w:val="44"/>
        </w:rPr>
      </w:pPr>
    </w:p>
    <w:p w14:paraId="364E863A">
      <w:pPr>
        <w:spacing w:after="0" w:line="240" w:lineRule="auto"/>
        <w:jc w:val="center"/>
        <w:outlineLvl w:val="0"/>
        <w:rPr>
          <w:rFonts w:ascii="宋体" w:eastAsia="黑体"/>
          <w:sz w:val="44"/>
          <w:szCs w:val="44"/>
        </w:rPr>
      </w:pPr>
      <w:r>
        <w:rPr>
          <w:rFonts w:ascii="宋体" w:eastAsia="黑体"/>
          <w:sz w:val="44"/>
          <w:szCs w:val="44"/>
        </w:rPr>
        <w:t>新疆维吾尔自治区中医药研究院</w:t>
      </w:r>
    </w:p>
    <w:p w14:paraId="7D802A12">
      <w:pPr>
        <w:spacing w:after="0" w:line="240" w:lineRule="auto"/>
        <w:jc w:val="center"/>
        <w:outlineLvl w:val="0"/>
        <w:rPr>
          <w:rFonts w:ascii="黑体" w:eastAsia="黑体"/>
          <w:sz w:val="44"/>
          <w:szCs w:val="44"/>
        </w:rPr>
      </w:pPr>
      <w:r>
        <w:rPr>
          <w:rFonts w:ascii="黑体" w:eastAsia="黑体"/>
          <w:sz w:val="44"/>
          <w:szCs w:val="44"/>
        </w:rPr>
        <w:t>2025年度部门决算公开说明</w:t>
      </w:r>
    </w:p>
    <w:p w14:paraId="38DAEDEC">
      <w:r>
        <w:rPr>
          <w:sz w:val="0"/>
          <w:szCs w:val="0"/>
        </w:rPr>
        <w:br w:type="page"/>
      </w:r>
    </w:p>
    <w:p w14:paraId="41E65A77">
      <w:pPr>
        <w:spacing w:after="0" w:line="240" w:lineRule="auto"/>
        <w:jc w:val="center"/>
        <w:rPr>
          <w:rFonts w:ascii="黑体" w:eastAsia="黑体"/>
          <w:sz w:val="32"/>
          <w:szCs w:val="32"/>
        </w:rPr>
      </w:pPr>
      <w:r>
        <w:rPr>
          <w:rFonts w:ascii="黑体" w:eastAsia="黑体"/>
          <w:b/>
          <w:sz w:val="32"/>
          <w:szCs w:val="32"/>
        </w:rPr>
        <w:t>目 录</w:t>
      </w:r>
    </w:p>
    <w:p w14:paraId="3D295801">
      <w:pPr>
        <w:spacing w:after="0" w:line="240" w:lineRule="auto"/>
        <w:rPr>
          <w:rFonts w:ascii="仿宋_GB2312" w:eastAsia="仿宋_GB2312"/>
          <w:sz w:val="32"/>
          <w:szCs w:val="32"/>
        </w:rPr>
      </w:pPr>
      <w:r>
        <w:rPr>
          <w:rFonts w:ascii="仿宋_GB2312" w:eastAsia="仿宋_GB2312"/>
          <w:b/>
          <w:sz w:val="32"/>
          <w:szCs w:val="32"/>
        </w:rPr>
        <w:t>第一部分单位概况</w:t>
      </w:r>
    </w:p>
    <w:p w14:paraId="7621F0DB">
      <w:pPr>
        <w:spacing w:after="0" w:line="240" w:lineRule="auto"/>
        <w:rPr>
          <w:rFonts w:ascii="仿宋_GB2312" w:eastAsia="仿宋_GB2312"/>
          <w:sz w:val="32"/>
          <w:szCs w:val="32"/>
        </w:rPr>
      </w:pPr>
      <w:r>
        <w:rPr>
          <w:rFonts w:ascii="仿宋_GB2312" w:eastAsia="仿宋_GB2312"/>
          <w:sz w:val="32"/>
          <w:szCs w:val="32"/>
        </w:rPr>
        <w:t>一、主要职能</w:t>
      </w:r>
    </w:p>
    <w:p w14:paraId="0F22013D">
      <w:pPr>
        <w:spacing w:after="0" w:line="240" w:lineRule="auto"/>
        <w:rPr>
          <w:rFonts w:ascii="仿宋_GB2312" w:eastAsia="仿宋_GB2312"/>
          <w:sz w:val="32"/>
          <w:szCs w:val="32"/>
        </w:rPr>
      </w:pPr>
      <w:r>
        <w:rPr>
          <w:rFonts w:ascii="仿宋_GB2312" w:eastAsia="仿宋_GB2312"/>
          <w:sz w:val="32"/>
          <w:szCs w:val="32"/>
        </w:rPr>
        <w:t>二、机构设置</w:t>
      </w:r>
    </w:p>
    <w:p w14:paraId="2696486B">
      <w:pPr>
        <w:spacing w:after="0" w:line="240" w:lineRule="auto"/>
        <w:rPr>
          <w:rFonts w:ascii="仿宋_GB2312" w:eastAsia="仿宋_GB2312"/>
          <w:sz w:val="32"/>
          <w:szCs w:val="32"/>
        </w:rPr>
      </w:pPr>
      <w:r>
        <w:rPr>
          <w:rFonts w:ascii="仿宋_GB2312" w:eastAsia="仿宋_GB2312"/>
          <w:b/>
          <w:sz w:val="32"/>
          <w:szCs w:val="32"/>
        </w:rPr>
        <w:t>第二部分 部门决算情况说明</w:t>
      </w:r>
    </w:p>
    <w:p w14:paraId="6E6500BE">
      <w:pPr>
        <w:spacing w:after="0" w:line="240" w:lineRule="auto"/>
        <w:rPr>
          <w:rFonts w:ascii="仿宋_GB2312" w:eastAsia="仿宋_GB2312"/>
          <w:sz w:val="32"/>
          <w:szCs w:val="32"/>
        </w:rPr>
      </w:pPr>
      <w:r>
        <w:rPr>
          <w:rFonts w:ascii="仿宋_GB2312" w:eastAsia="仿宋_GB2312"/>
          <w:sz w:val="32"/>
          <w:szCs w:val="32"/>
        </w:rPr>
        <w:t>一、收入支出决算总体情况说明</w:t>
      </w:r>
    </w:p>
    <w:p w14:paraId="33DA6AFE">
      <w:pPr>
        <w:spacing w:after="0" w:line="240" w:lineRule="auto"/>
        <w:rPr>
          <w:rFonts w:ascii="仿宋_GB2312" w:eastAsia="仿宋_GB2312"/>
          <w:sz w:val="32"/>
          <w:szCs w:val="32"/>
        </w:rPr>
      </w:pPr>
      <w:r>
        <w:rPr>
          <w:rFonts w:ascii="仿宋_GB2312" w:eastAsia="仿宋_GB2312"/>
          <w:sz w:val="32"/>
          <w:szCs w:val="32"/>
        </w:rPr>
        <w:t>二、收入决算情况说明</w:t>
      </w:r>
    </w:p>
    <w:p w14:paraId="5D475063">
      <w:pPr>
        <w:spacing w:after="0" w:line="240" w:lineRule="auto"/>
        <w:rPr>
          <w:rFonts w:ascii="仿宋_GB2312" w:eastAsia="仿宋_GB2312"/>
          <w:sz w:val="32"/>
          <w:szCs w:val="32"/>
        </w:rPr>
      </w:pPr>
      <w:r>
        <w:rPr>
          <w:rFonts w:ascii="仿宋_GB2312" w:eastAsia="仿宋_GB2312"/>
          <w:sz w:val="32"/>
          <w:szCs w:val="32"/>
        </w:rPr>
        <w:t>三、支出决算情况说明</w:t>
      </w:r>
    </w:p>
    <w:p w14:paraId="13E3D610">
      <w:pPr>
        <w:spacing w:after="0" w:line="240" w:lineRule="auto"/>
        <w:rPr>
          <w:rFonts w:ascii="仿宋_GB2312" w:eastAsia="仿宋_GB2312"/>
          <w:sz w:val="32"/>
          <w:szCs w:val="32"/>
        </w:rPr>
      </w:pPr>
      <w:r>
        <w:rPr>
          <w:rFonts w:ascii="仿宋_GB2312" w:eastAsia="仿宋_GB2312"/>
          <w:sz w:val="32"/>
          <w:szCs w:val="32"/>
        </w:rPr>
        <w:t>四、财政拨款收入支出决算总体情况说明</w:t>
      </w:r>
    </w:p>
    <w:p w14:paraId="2697CD1A">
      <w:pPr>
        <w:spacing w:after="0" w:line="240" w:lineRule="auto"/>
        <w:rPr>
          <w:rFonts w:ascii="仿宋_GB2312" w:eastAsia="仿宋_GB2312"/>
          <w:sz w:val="32"/>
          <w:szCs w:val="32"/>
        </w:rPr>
      </w:pPr>
      <w:r>
        <w:rPr>
          <w:rFonts w:ascii="仿宋_GB2312" w:eastAsia="仿宋_GB2312"/>
          <w:sz w:val="32"/>
          <w:szCs w:val="32"/>
        </w:rPr>
        <w:t>五、一般公共预算财政拨款支出决算情况说明</w:t>
      </w:r>
    </w:p>
    <w:p w14:paraId="28A41525">
      <w:pPr>
        <w:spacing w:after="0" w:line="240" w:lineRule="auto"/>
        <w:rPr>
          <w:rFonts w:ascii="仿宋_GB2312" w:eastAsia="仿宋_GB2312"/>
          <w:sz w:val="32"/>
          <w:szCs w:val="32"/>
        </w:rPr>
      </w:pPr>
      <w:r>
        <w:rPr>
          <w:rFonts w:ascii="仿宋_GB2312" w:eastAsia="仿宋_GB2312"/>
          <w:sz w:val="32"/>
          <w:szCs w:val="32"/>
        </w:rPr>
        <w:t>（一）一般公共预算财政拨款支出决算总体情况</w:t>
      </w:r>
    </w:p>
    <w:p w14:paraId="39CBF6D9">
      <w:pPr>
        <w:spacing w:after="0" w:line="240" w:lineRule="auto"/>
        <w:rPr>
          <w:rFonts w:ascii="仿宋_GB2312" w:eastAsia="仿宋_GB2312"/>
          <w:sz w:val="32"/>
          <w:szCs w:val="32"/>
        </w:rPr>
      </w:pPr>
      <w:r>
        <w:rPr>
          <w:rFonts w:ascii="仿宋_GB2312" w:eastAsia="仿宋_GB2312"/>
          <w:sz w:val="32"/>
          <w:szCs w:val="32"/>
        </w:rPr>
        <w:t>（二）一般公共预算财政拨款支出决算结构情况</w:t>
      </w:r>
    </w:p>
    <w:p w14:paraId="60C9A478">
      <w:pPr>
        <w:spacing w:after="0" w:line="240" w:lineRule="auto"/>
        <w:rPr>
          <w:rFonts w:ascii="仿宋_GB2312" w:eastAsia="仿宋_GB2312"/>
          <w:sz w:val="32"/>
          <w:szCs w:val="32"/>
        </w:rPr>
      </w:pPr>
      <w:r>
        <w:rPr>
          <w:rFonts w:ascii="仿宋_GB2312" w:eastAsia="仿宋_GB2312"/>
          <w:sz w:val="32"/>
          <w:szCs w:val="32"/>
        </w:rPr>
        <w:t>（三）一般公共预算财政拨款支出决算具体情况</w:t>
      </w:r>
    </w:p>
    <w:p w14:paraId="32B76DEE">
      <w:pPr>
        <w:spacing w:after="0" w:line="240" w:lineRule="auto"/>
        <w:rPr>
          <w:rFonts w:ascii="仿宋_GB2312" w:eastAsia="仿宋_GB2312"/>
          <w:sz w:val="32"/>
          <w:szCs w:val="32"/>
        </w:rPr>
      </w:pPr>
      <w:r>
        <w:rPr>
          <w:rFonts w:ascii="仿宋_GB2312" w:eastAsia="仿宋_GB2312"/>
          <w:sz w:val="32"/>
          <w:szCs w:val="32"/>
        </w:rPr>
        <w:t>六、一般公共预算财政拨款基本支出决算情况说明</w:t>
      </w:r>
    </w:p>
    <w:p w14:paraId="4201113D">
      <w:pPr>
        <w:spacing w:after="0" w:line="240" w:lineRule="auto"/>
        <w:rPr>
          <w:rFonts w:ascii="仿宋_GB2312" w:eastAsia="仿宋_GB2312"/>
          <w:sz w:val="32"/>
          <w:szCs w:val="32"/>
        </w:rPr>
      </w:pPr>
      <w:r>
        <w:rPr>
          <w:rFonts w:ascii="仿宋_GB2312" w:eastAsia="仿宋_GB2312"/>
          <w:sz w:val="32"/>
          <w:szCs w:val="32"/>
        </w:rPr>
        <w:t>七、政府性基金预算财政拨款收入支出决算情况说明</w:t>
      </w:r>
    </w:p>
    <w:p w14:paraId="3DFF1977">
      <w:pPr>
        <w:spacing w:after="0" w:line="240" w:lineRule="auto"/>
        <w:rPr>
          <w:rFonts w:ascii="仿宋_GB2312" w:eastAsia="仿宋_GB2312"/>
          <w:sz w:val="32"/>
          <w:szCs w:val="32"/>
        </w:rPr>
      </w:pPr>
      <w:r>
        <w:rPr>
          <w:rFonts w:ascii="仿宋_GB2312" w:eastAsia="仿宋_GB2312"/>
          <w:sz w:val="32"/>
          <w:szCs w:val="32"/>
        </w:rPr>
        <w:t>八、国有资本经营预算财政拨款收入支出决算情况说明</w:t>
      </w:r>
    </w:p>
    <w:p w14:paraId="7E80CEEE">
      <w:pPr>
        <w:spacing w:after="0" w:line="240" w:lineRule="auto"/>
        <w:rPr>
          <w:rFonts w:ascii="仿宋_GB2312" w:eastAsia="仿宋_GB2312"/>
          <w:sz w:val="32"/>
          <w:szCs w:val="32"/>
        </w:rPr>
      </w:pPr>
      <w:r>
        <w:rPr>
          <w:rFonts w:ascii="仿宋_GB2312" w:eastAsia="仿宋_GB2312"/>
          <w:sz w:val="32"/>
          <w:szCs w:val="32"/>
        </w:rPr>
        <w:t>九、财政拨款“三公”经费支出决算情况说明</w:t>
      </w:r>
    </w:p>
    <w:p w14:paraId="2E8F8576">
      <w:pPr>
        <w:spacing w:after="0" w:line="240" w:lineRule="auto"/>
        <w:rPr>
          <w:rFonts w:ascii="仿宋_GB2312" w:eastAsia="仿宋_GB2312"/>
          <w:sz w:val="32"/>
          <w:szCs w:val="32"/>
        </w:rPr>
      </w:pPr>
      <w:r>
        <w:rPr>
          <w:rFonts w:ascii="仿宋_GB2312" w:eastAsia="仿宋_GB2312"/>
          <w:sz w:val="32"/>
          <w:szCs w:val="32"/>
        </w:rPr>
        <w:t>十、其他重要事项的情况说明</w:t>
      </w:r>
    </w:p>
    <w:p w14:paraId="52FFC33A">
      <w:pPr>
        <w:spacing w:after="0" w:line="240" w:lineRule="auto"/>
        <w:rPr>
          <w:rFonts w:ascii="仿宋_GB2312" w:eastAsia="仿宋_GB2312"/>
          <w:sz w:val="32"/>
          <w:szCs w:val="32"/>
        </w:rPr>
      </w:pPr>
      <w:r>
        <w:rPr>
          <w:rFonts w:ascii="仿宋_GB2312" w:eastAsia="仿宋_GB2312"/>
          <w:sz w:val="32"/>
          <w:szCs w:val="32"/>
        </w:rPr>
        <w:t>（一）机关运行经费及公用经费支出情况</w:t>
      </w:r>
    </w:p>
    <w:p w14:paraId="38F16D39">
      <w:pPr>
        <w:spacing w:after="0" w:line="240" w:lineRule="auto"/>
        <w:rPr>
          <w:rFonts w:ascii="仿宋_GB2312" w:eastAsia="仿宋_GB2312"/>
          <w:sz w:val="32"/>
          <w:szCs w:val="32"/>
        </w:rPr>
      </w:pPr>
      <w:r>
        <w:rPr>
          <w:rFonts w:ascii="仿宋_GB2312" w:eastAsia="仿宋_GB2312"/>
          <w:sz w:val="32"/>
          <w:szCs w:val="32"/>
        </w:rPr>
        <w:t>（二）政府采购情况</w:t>
      </w:r>
    </w:p>
    <w:p w14:paraId="20F805CA">
      <w:pPr>
        <w:spacing w:after="0" w:line="240" w:lineRule="auto"/>
        <w:rPr>
          <w:rFonts w:ascii="仿宋_GB2312" w:eastAsia="仿宋_GB2312"/>
          <w:sz w:val="32"/>
          <w:szCs w:val="32"/>
        </w:rPr>
      </w:pPr>
      <w:r>
        <w:rPr>
          <w:rFonts w:ascii="仿宋_GB2312" w:eastAsia="仿宋_GB2312"/>
          <w:sz w:val="32"/>
          <w:szCs w:val="32"/>
        </w:rPr>
        <w:t>（三）国有资产占用情况说明</w:t>
      </w:r>
    </w:p>
    <w:p w14:paraId="6602E74E">
      <w:pPr>
        <w:spacing w:after="0" w:line="240" w:lineRule="auto"/>
        <w:rPr>
          <w:rFonts w:ascii="仿宋_GB2312" w:eastAsia="仿宋_GB2312"/>
          <w:sz w:val="32"/>
          <w:szCs w:val="32"/>
        </w:rPr>
      </w:pPr>
      <w:r>
        <w:rPr>
          <w:rFonts w:ascii="仿宋_GB2312" w:eastAsia="仿宋_GB2312"/>
          <w:sz w:val="32"/>
          <w:szCs w:val="32"/>
        </w:rPr>
        <w:t>十一、预算绩效的情况说明</w:t>
      </w:r>
    </w:p>
    <w:p w14:paraId="18707BC5">
      <w:pPr>
        <w:spacing w:after="0" w:line="240" w:lineRule="auto"/>
        <w:rPr>
          <w:rFonts w:ascii="仿宋_GB2312" w:eastAsia="仿宋_GB2312"/>
          <w:sz w:val="32"/>
          <w:szCs w:val="32"/>
        </w:rPr>
      </w:pPr>
      <w:r>
        <w:rPr>
          <w:rFonts w:ascii="仿宋_GB2312" w:eastAsia="仿宋_GB2312"/>
          <w:sz w:val="32"/>
          <w:szCs w:val="32"/>
        </w:rPr>
        <w:t>十二、其他需说明的事项</w:t>
      </w:r>
    </w:p>
    <w:p w14:paraId="2E4905A4">
      <w:pPr>
        <w:spacing w:after="0" w:line="240" w:lineRule="auto"/>
        <w:rPr>
          <w:rFonts w:ascii="仿宋_GB2312" w:eastAsia="仿宋_GB2312"/>
          <w:sz w:val="32"/>
          <w:szCs w:val="32"/>
        </w:rPr>
      </w:pPr>
      <w:r>
        <w:rPr>
          <w:rFonts w:ascii="仿宋_GB2312" w:eastAsia="仿宋_GB2312"/>
          <w:b/>
          <w:sz w:val="32"/>
          <w:szCs w:val="32"/>
        </w:rPr>
        <w:t>第三部分 专业名词解释</w:t>
      </w:r>
    </w:p>
    <w:p w14:paraId="426A2C96">
      <w:pPr>
        <w:spacing w:after="0" w:line="240" w:lineRule="auto"/>
        <w:rPr>
          <w:rFonts w:ascii="仿宋_GB2312" w:eastAsia="仿宋_GB2312"/>
          <w:sz w:val="32"/>
          <w:szCs w:val="32"/>
        </w:rPr>
      </w:pPr>
      <w:r>
        <w:rPr>
          <w:rFonts w:ascii="仿宋_GB2312" w:eastAsia="仿宋_GB2312"/>
          <w:b/>
          <w:sz w:val="32"/>
          <w:szCs w:val="32"/>
        </w:rPr>
        <w:t>第四部分 部门决算报表（见附表）</w:t>
      </w:r>
    </w:p>
    <w:p w14:paraId="7E3D3F52">
      <w:pPr>
        <w:spacing w:after="0" w:line="240" w:lineRule="auto"/>
        <w:rPr>
          <w:rFonts w:ascii="仿宋_GB2312" w:eastAsia="仿宋_GB2312"/>
          <w:sz w:val="32"/>
          <w:szCs w:val="32"/>
        </w:rPr>
      </w:pPr>
      <w:r>
        <w:rPr>
          <w:rFonts w:ascii="仿宋_GB2312" w:eastAsia="仿宋_GB2312"/>
          <w:sz w:val="32"/>
          <w:szCs w:val="32"/>
        </w:rPr>
        <w:t>一、《收入支出决算总表》</w:t>
      </w:r>
    </w:p>
    <w:p w14:paraId="0EB31BE9">
      <w:pPr>
        <w:spacing w:after="0" w:line="240" w:lineRule="auto"/>
        <w:rPr>
          <w:rFonts w:ascii="仿宋_GB2312" w:eastAsia="仿宋_GB2312"/>
          <w:sz w:val="32"/>
          <w:szCs w:val="32"/>
        </w:rPr>
      </w:pPr>
      <w:r>
        <w:rPr>
          <w:rFonts w:ascii="仿宋_GB2312" w:eastAsia="仿宋_GB2312"/>
          <w:sz w:val="32"/>
          <w:szCs w:val="32"/>
        </w:rPr>
        <w:t>二、《收入决算表》</w:t>
      </w:r>
    </w:p>
    <w:p w14:paraId="08427B83">
      <w:pPr>
        <w:spacing w:after="0" w:line="240" w:lineRule="auto"/>
        <w:rPr>
          <w:rFonts w:ascii="仿宋_GB2312" w:eastAsia="仿宋_GB2312"/>
          <w:sz w:val="32"/>
          <w:szCs w:val="32"/>
        </w:rPr>
      </w:pPr>
      <w:r>
        <w:rPr>
          <w:rFonts w:ascii="仿宋_GB2312" w:eastAsia="仿宋_GB2312"/>
          <w:sz w:val="32"/>
          <w:szCs w:val="32"/>
        </w:rPr>
        <w:t>三、《支出决算表》</w:t>
      </w:r>
    </w:p>
    <w:p w14:paraId="7988F71A">
      <w:pPr>
        <w:spacing w:after="0" w:line="240" w:lineRule="auto"/>
        <w:rPr>
          <w:rFonts w:ascii="仿宋_GB2312" w:eastAsia="仿宋_GB2312"/>
          <w:sz w:val="32"/>
          <w:szCs w:val="32"/>
        </w:rPr>
      </w:pPr>
      <w:r>
        <w:rPr>
          <w:rFonts w:ascii="仿宋_GB2312" w:eastAsia="仿宋_GB2312"/>
          <w:sz w:val="32"/>
          <w:szCs w:val="32"/>
        </w:rPr>
        <w:t>四、《财政拨款收入支出决算总表》</w:t>
      </w:r>
    </w:p>
    <w:p w14:paraId="167C8839">
      <w:pPr>
        <w:spacing w:after="0" w:line="240" w:lineRule="auto"/>
        <w:rPr>
          <w:rFonts w:ascii="仿宋_GB2312" w:eastAsia="仿宋_GB2312"/>
          <w:sz w:val="32"/>
          <w:szCs w:val="32"/>
        </w:rPr>
      </w:pPr>
      <w:r>
        <w:rPr>
          <w:rFonts w:ascii="仿宋_GB2312" w:eastAsia="仿宋_GB2312"/>
          <w:sz w:val="32"/>
          <w:szCs w:val="32"/>
        </w:rPr>
        <w:t>五、《一般公共预算财政拨款支出决算表》</w:t>
      </w:r>
    </w:p>
    <w:p w14:paraId="4282BC36">
      <w:pPr>
        <w:spacing w:after="0" w:line="240" w:lineRule="auto"/>
        <w:rPr>
          <w:rFonts w:ascii="仿宋_GB2312" w:eastAsia="仿宋_GB2312"/>
          <w:sz w:val="32"/>
          <w:szCs w:val="32"/>
        </w:rPr>
      </w:pPr>
      <w:r>
        <w:rPr>
          <w:rFonts w:ascii="仿宋_GB2312" w:eastAsia="仿宋_GB2312"/>
          <w:sz w:val="32"/>
          <w:szCs w:val="32"/>
        </w:rPr>
        <w:t>六、《一般公共预算财政拨款基本支出决算表》</w:t>
      </w:r>
    </w:p>
    <w:p w14:paraId="2C7B44BA">
      <w:pPr>
        <w:spacing w:after="0" w:line="240" w:lineRule="auto"/>
        <w:rPr>
          <w:rFonts w:ascii="仿宋_GB2312" w:eastAsia="仿宋_GB2312"/>
          <w:sz w:val="32"/>
          <w:szCs w:val="32"/>
        </w:rPr>
      </w:pPr>
      <w:r>
        <w:rPr>
          <w:rFonts w:ascii="仿宋_GB2312" w:eastAsia="仿宋_GB2312"/>
          <w:sz w:val="32"/>
          <w:szCs w:val="32"/>
        </w:rPr>
        <w:t>七、《政府性基金预算财政拨款收入支出决算表》</w:t>
      </w:r>
    </w:p>
    <w:p w14:paraId="100856A2">
      <w:pPr>
        <w:spacing w:after="0" w:line="240" w:lineRule="auto"/>
        <w:rPr>
          <w:rFonts w:ascii="仿宋_GB2312" w:eastAsia="仿宋_GB2312"/>
          <w:sz w:val="32"/>
          <w:szCs w:val="32"/>
        </w:rPr>
      </w:pPr>
      <w:r>
        <w:rPr>
          <w:rFonts w:ascii="仿宋_GB2312" w:eastAsia="仿宋_GB2312"/>
          <w:sz w:val="32"/>
          <w:szCs w:val="32"/>
        </w:rPr>
        <w:t>八、《国有资本经营预算财政拨款收入支出决算表》</w:t>
      </w:r>
    </w:p>
    <w:p w14:paraId="2AF04E22">
      <w:pPr>
        <w:spacing w:after="0" w:line="240" w:lineRule="auto"/>
        <w:rPr>
          <w:rFonts w:ascii="仿宋_GB2312" w:eastAsia="仿宋_GB2312"/>
          <w:sz w:val="32"/>
          <w:szCs w:val="32"/>
        </w:rPr>
      </w:pPr>
      <w:r>
        <w:rPr>
          <w:rFonts w:ascii="仿宋_GB2312" w:eastAsia="仿宋_GB2312"/>
          <w:sz w:val="32"/>
          <w:szCs w:val="32"/>
        </w:rPr>
        <w:t>九、《财政拨款“三公”经费支出决算表》</w:t>
      </w:r>
    </w:p>
    <w:p w14:paraId="5FF23A8D">
      <w:r>
        <w:rPr>
          <w:sz w:val="0"/>
          <w:szCs w:val="0"/>
        </w:rPr>
        <w:br w:type="page"/>
      </w:r>
    </w:p>
    <w:p w14:paraId="6ABD2902">
      <w:pPr>
        <w:spacing w:after="0" w:line="240" w:lineRule="auto"/>
        <w:jc w:val="center"/>
        <w:outlineLvl w:val="0"/>
        <w:rPr>
          <w:rFonts w:ascii="黑体" w:eastAsia="黑体"/>
          <w:sz w:val="32"/>
          <w:szCs w:val="32"/>
        </w:rPr>
      </w:pPr>
      <w:r>
        <w:rPr>
          <w:rFonts w:ascii="黑体" w:eastAsia="黑体"/>
          <w:sz w:val="32"/>
          <w:szCs w:val="32"/>
        </w:rPr>
        <w:t>第一部分单位概况</w:t>
      </w:r>
    </w:p>
    <w:p w14:paraId="75DB203E">
      <w:pPr>
        <w:spacing w:after="0" w:line="240" w:lineRule="auto"/>
        <w:ind w:firstLine="640" w:firstLineChars="200"/>
        <w:outlineLvl w:val="1"/>
        <w:rPr>
          <w:rFonts w:ascii="黑体" w:eastAsia="黑体"/>
          <w:sz w:val="32"/>
          <w:szCs w:val="32"/>
        </w:rPr>
      </w:pPr>
      <w:r>
        <w:rPr>
          <w:rFonts w:ascii="黑体" w:eastAsia="黑体"/>
          <w:sz w:val="32"/>
          <w:szCs w:val="32"/>
        </w:rPr>
        <w:t>一、主要职能</w:t>
      </w:r>
    </w:p>
    <w:p w14:paraId="7270E7A7">
      <w:pPr>
        <w:spacing w:after="0" w:line="240" w:lineRule="auto"/>
        <w:ind w:firstLine="640" w:firstLineChars="200"/>
        <w:jc w:val="both"/>
        <w:rPr>
          <w:rFonts w:ascii="仿宋_GB2312" w:eastAsia="仿宋_GB2312"/>
          <w:sz w:val="32"/>
          <w:szCs w:val="32"/>
        </w:rPr>
      </w:pPr>
      <w:r>
        <w:rPr>
          <w:rFonts w:ascii="仿宋_GB2312" w:eastAsia="仿宋_GB2312"/>
          <w:sz w:val="32"/>
          <w:szCs w:val="32"/>
        </w:rPr>
        <w:t>新疆维吾尔自治区中医药研究院于2002年与新疆维吾尔自治区中医医院合并，是自治区中医医疗、教学、科研、保健、康复工作的主要基地和中医学术龙头单位，每年承担多项国家级、省级、卫生健康委员会、医科大学科研课题。2024年，在上级党委正确领导下，医院坚持以习近平新时代中国特色社会主义思想为指导，全面贯彻党的二十大精神和自治区党委十届历次全会精神，完整准确贯彻新时代党的治疆方略，认真贯彻落实上级党委安排部署，坚持以人民健康为中心，以高质量发展为主题，贯彻落实党和国家关于中医药工作的法律、法规和政策，围绕为全疆各族人民群众提供中医医疗、预防、保健、康复等医疗卫生服务；探索医联体建设新模式，与基层医疗机构建立紧密的合作关系，确保全疆各族群众健康需求；加强中医医院标准化管理；承担意外灾害事故等突发公共卫生事件的医疗救援及预防、保健和康复医疗服务工作；充分发挥中医药在国家基本公共卫生服务中的优势和作用，负责医院内部公共卫生服务中医药健康管理项目的实施和日常管理；组织实施中医药科学研究，推进医学科技成果转化和推广应用；承担中医药人才培养，中医药继续医学教育工作；拟订实施医院战略发展规划；承担全疆卫生医疗人员进修、技术指导和本科、研究生的教育教学工作；做好城镇居民基本医疗保险和新型农村合作医疗保险等定点医疗机构的各项工作；参与自治区卫生健康系统、新疆医科大学等各级上级部门卫生扶贫、重大活动的医疗卫生保障工作等职能，协同高效推进医教研各项工作，医院核心竞争力、文化软实力和综合实力全面提升，医院高质量发展步入“快车道”。</w:t>
      </w:r>
    </w:p>
    <w:p w14:paraId="7073D8B1">
      <w:pPr>
        <w:spacing w:after="0" w:line="240" w:lineRule="auto"/>
        <w:ind w:firstLine="640" w:firstLineChars="200"/>
        <w:outlineLvl w:val="1"/>
        <w:rPr>
          <w:rFonts w:ascii="黑体" w:eastAsia="黑体"/>
          <w:sz w:val="32"/>
          <w:szCs w:val="32"/>
        </w:rPr>
      </w:pPr>
      <w:r>
        <w:rPr>
          <w:rFonts w:ascii="黑体" w:eastAsia="黑体"/>
          <w:sz w:val="32"/>
          <w:szCs w:val="32"/>
        </w:rPr>
        <w:t>二、机构设置</w:t>
      </w:r>
    </w:p>
    <w:p w14:paraId="274CF537">
      <w:pPr>
        <w:spacing w:after="0" w:line="240" w:lineRule="auto"/>
        <w:ind w:firstLine="640" w:firstLineChars="200"/>
        <w:jc w:val="both"/>
        <w:rPr>
          <w:rFonts w:ascii="仿宋_GB2312" w:eastAsia="仿宋_GB2312"/>
          <w:sz w:val="32"/>
          <w:szCs w:val="32"/>
        </w:rPr>
      </w:pPr>
      <w:r>
        <w:rPr>
          <w:rFonts w:ascii="仿宋_GB2312" w:eastAsia="仿宋_GB2312"/>
          <w:sz w:val="32"/>
          <w:szCs w:val="32"/>
        </w:rPr>
        <w:t>新疆维吾尔自治区中医药研究院无下属预算单位。</w:t>
      </w:r>
    </w:p>
    <w:p w14:paraId="4E67FCA5">
      <w:r>
        <w:rPr>
          <w:sz w:val="0"/>
          <w:szCs w:val="0"/>
        </w:rPr>
        <w:br w:type="page"/>
      </w:r>
    </w:p>
    <w:p w14:paraId="06543297">
      <w:pPr>
        <w:spacing w:after="0" w:line="240" w:lineRule="auto"/>
        <w:jc w:val="center"/>
        <w:outlineLvl w:val="0"/>
        <w:rPr>
          <w:rFonts w:ascii="黑体" w:eastAsia="黑体"/>
          <w:sz w:val="32"/>
          <w:szCs w:val="32"/>
        </w:rPr>
      </w:pPr>
      <w:r>
        <w:rPr>
          <w:rFonts w:ascii="黑体" w:eastAsia="黑体"/>
          <w:sz w:val="32"/>
          <w:szCs w:val="32"/>
        </w:rPr>
        <w:t>第二部分 部门决算情况说明</w:t>
      </w:r>
    </w:p>
    <w:p w14:paraId="67258CDD">
      <w:pPr>
        <w:spacing w:after="0" w:line="240" w:lineRule="auto"/>
        <w:ind w:firstLine="640" w:firstLineChars="200"/>
        <w:outlineLvl w:val="1"/>
        <w:rPr>
          <w:rFonts w:ascii="黑体" w:eastAsia="黑体"/>
          <w:sz w:val="32"/>
          <w:szCs w:val="32"/>
        </w:rPr>
      </w:pPr>
      <w:r>
        <w:rPr>
          <w:rFonts w:ascii="黑体" w:eastAsia="黑体"/>
          <w:sz w:val="32"/>
          <w:szCs w:val="32"/>
        </w:rPr>
        <w:t>一、收入支出决算总体情况说明</w:t>
      </w:r>
    </w:p>
    <w:p w14:paraId="2699FB77">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2025年度收入总计7,916.46万元，其中：本年收入合计5,523.52万元，使用非财政拨款结余（含专用结余）0.00万元，年初结转和结余2,392.94万元。</w:t>
      </w:r>
    </w:p>
    <w:p w14:paraId="7C50BD66">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2025年度支出总计7,916.46万元，其中：本年支出合计5,654.63万元，结余分配0.00万元，年末结转和结余2,261.83万元。</w:t>
      </w:r>
    </w:p>
    <w:p w14:paraId="407EE299">
      <w:pPr>
        <w:spacing w:after="0" w:line="240" w:lineRule="auto"/>
        <w:ind w:firstLine="640" w:firstLineChars="200"/>
        <w:jc w:val="both"/>
        <w:rPr>
          <w:rFonts w:ascii="仿宋_GB2312" w:eastAsia="仿宋_GB2312"/>
          <w:sz w:val="32"/>
          <w:szCs w:val="32"/>
        </w:rPr>
      </w:pPr>
      <w:r>
        <w:rPr>
          <w:rFonts w:ascii="仿宋_GB2312" w:eastAsia="仿宋_GB2312"/>
          <w:sz w:val="32"/>
          <w:szCs w:val="32"/>
        </w:rPr>
        <w:t>收入支出总体与上年相比，减少169.81万元，下降2.10%，主要原因是：较上年减少新疆地区地方高发病及并发症的中西医结合防治研究等重大科技项目资金。</w:t>
      </w:r>
    </w:p>
    <w:p w14:paraId="5EC7DAD3">
      <w:pPr>
        <w:spacing w:after="0" w:line="240" w:lineRule="auto"/>
        <w:ind w:firstLine="640" w:firstLineChars="200"/>
        <w:outlineLvl w:val="1"/>
        <w:rPr>
          <w:rFonts w:ascii="黑体" w:eastAsia="黑体"/>
          <w:sz w:val="32"/>
          <w:szCs w:val="32"/>
        </w:rPr>
      </w:pPr>
      <w:r>
        <w:rPr>
          <w:rFonts w:ascii="黑体" w:eastAsia="黑体"/>
          <w:sz w:val="32"/>
          <w:szCs w:val="32"/>
        </w:rPr>
        <w:t>二、收入决算情况说明</w:t>
      </w:r>
    </w:p>
    <w:p w14:paraId="3422C94A">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年收入5,523.52万元，其中：财政拨款收入4,137.60万元,占74.91%；上级补助收入0.00万元,占0.00%；事业收入1,352.60万元，占24.49%；经营收入0.00万元,占0.00%；附属单位上缴收入0.00万元，占0.00%；其他收入33.33万元，占0.60%。</w:t>
      </w:r>
    </w:p>
    <w:p w14:paraId="3590E04B">
      <w:pPr>
        <w:spacing w:after="0" w:line="240" w:lineRule="auto"/>
        <w:ind w:firstLine="640" w:firstLineChars="200"/>
        <w:outlineLvl w:val="1"/>
        <w:rPr>
          <w:rFonts w:ascii="黑体" w:eastAsia="黑体"/>
          <w:sz w:val="32"/>
          <w:szCs w:val="32"/>
        </w:rPr>
      </w:pPr>
      <w:r>
        <w:rPr>
          <w:rFonts w:ascii="黑体" w:eastAsia="黑体"/>
          <w:sz w:val="32"/>
          <w:szCs w:val="32"/>
        </w:rPr>
        <w:t>三、支出决算情况说明</w:t>
      </w:r>
    </w:p>
    <w:p w14:paraId="11F970DF">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本年支出5,654.63万元，其中：基本支出3,056.47万元，占54.05%；项目支出2,598.16万元，占45.95%；上缴上级支出0.00万元，占0.00%；经营支出0.00万元，占0.00%；对附属单位补助支出0.00万元，占0.00%。</w:t>
      </w:r>
    </w:p>
    <w:p w14:paraId="296BC366">
      <w:pPr>
        <w:spacing w:after="0" w:line="240" w:lineRule="auto"/>
        <w:ind w:firstLine="640" w:firstLineChars="200"/>
        <w:outlineLvl w:val="1"/>
        <w:rPr>
          <w:rFonts w:ascii="黑体" w:eastAsia="黑体"/>
          <w:sz w:val="32"/>
          <w:szCs w:val="32"/>
        </w:rPr>
      </w:pPr>
      <w:r>
        <w:rPr>
          <w:rFonts w:ascii="黑体" w:eastAsia="黑体"/>
          <w:sz w:val="32"/>
          <w:szCs w:val="32"/>
        </w:rPr>
        <w:t>四、财政拨款收入支出决算总体情况说明</w:t>
      </w:r>
    </w:p>
    <w:p w14:paraId="2633F639">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财政拨款收入总计4,137.60万元，其中：年初财政拨款结转和结余0.00万元，本年财政拨款收入4,137.60万元。财政拨款支出总计4,137.60万元，其中：年末财政拨款结转和结余0.00万元，本年财政拨款支出4,137.60万元。</w:t>
      </w:r>
    </w:p>
    <w:p w14:paraId="3279BE34">
      <w:pPr>
        <w:spacing w:after="0" w:line="240" w:lineRule="auto"/>
        <w:ind w:firstLine="640" w:firstLineChars="200"/>
        <w:jc w:val="both"/>
        <w:rPr>
          <w:rFonts w:ascii="仿宋_GB2312" w:eastAsia="仿宋_GB2312"/>
          <w:sz w:val="32"/>
          <w:szCs w:val="32"/>
        </w:rPr>
      </w:pPr>
      <w:r>
        <w:rPr>
          <w:rFonts w:ascii="仿宋_GB2312" w:eastAsia="仿宋_GB2312"/>
          <w:sz w:val="32"/>
          <w:szCs w:val="32"/>
        </w:rPr>
        <w:t>财政拨款收入支出总体与上年相比，增加42.55万元，增长1.04%，主要原因是：本年度退休人员增加，退休费增加</w:t>
      </w:r>
      <w:r>
        <w:rPr>
          <w:rFonts w:hint="eastAsia" w:ascii="仿宋_GB2312" w:eastAsia="仿宋_GB2312"/>
          <w:sz w:val="32"/>
          <w:szCs w:val="32"/>
          <w:lang w:eastAsia="zh-CN"/>
        </w:rPr>
        <w:t>；</w:t>
      </w:r>
      <w:r>
        <w:rPr>
          <w:rFonts w:ascii="仿宋_GB2312" w:eastAsia="仿宋_GB2312"/>
          <w:sz w:val="32"/>
          <w:szCs w:val="32"/>
        </w:rPr>
        <w:t>本年在职人员工资调增，社保、公积金基数调增，人员经费增加。与年初预算相比，年初预算数2,819.23万元，决算数4,137.60万元，预决算差异率46.76%，主要原因是：年中追加人员工资、社保、公积金基数调增部分资金，导致预决算存在差异；年中追加中医药研究院申报新疆人才发展基金2025年度第一轮支持资金—“天山英才”培养计划项目，导致预决算存在差异。</w:t>
      </w:r>
    </w:p>
    <w:p w14:paraId="03828E09">
      <w:pPr>
        <w:spacing w:after="0" w:line="240" w:lineRule="auto"/>
        <w:ind w:firstLine="640" w:firstLineChars="200"/>
        <w:outlineLvl w:val="1"/>
        <w:rPr>
          <w:rFonts w:ascii="黑体" w:eastAsia="黑体"/>
          <w:sz w:val="32"/>
          <w:szCs w:val="32"/>
        </w:rPr>
      </w:pPr>
      <w:r>
        <w:rPr>
          <w:rFonts w:ascii="黑体" w:eastAsia="黑体"/>
          <w:sz w:val="32"/>
          <w:szCs w:val="32"/>
        </w:rPr>
        <w:t>五、一般公共预算财政拨款支出决算情况说明</w:t>
      </w:r>
    </w:p>
    <w:p w14:paraId="428FAB23">
      <w:pPr>
        <w:spacing w:after="0" w:line="240" w:lineRule="auto"/>
        <w:ind w:firstLine="640" w:firstLineChars="200"/>
        <w:rPr>
          <w:rFonts w:ascii="仿宋_GB2312" w:eastAsia="仿宋_GB2312"/>
          <w:sz w:val="32"/>
          <w:szCs w:val="32"/>
        </w:rPr>
      </w:pPr>
      <w:r>
        <w:rPr>
          <w:rFonts w:ascii="仿宋_GB2312" w:eastAsia="仿宋_GB2312"/>
          <w:sz w:val="32"/>
          <w:szCs w:val="32"/>
        </w:rPr>
        <w:t>按照党中央、国务院关于党政机关习惯过紧日子的有关要求，厉行节约办一切事业，严控一般性支出。同时坚持有保有压，优化支出结构，提高资金使用效率，合理保障人员经费、公用经费、科学技术支出等重点支出，体现在有关支出科目中。</w:t>
      </w:r>
    </w:p>
    <w:p w14:paraId="1CA53C94">
      <w:pPr>
        <w:spacing w:after="0" w:line="240" w:lineRule="auto"/>
        <w:ind w:firstLine="640" w:firstLineChars="200"/>
        <w:rPr>
          <w:rFonts w:ascii="仿宋_GB2312" w:eastAsia="仿宋_GB2312"/>
          <w:sz w:val="32"/>
          <w:szCs w:val="32"/>
        </w:rPr>
      </w:pPr>
      <w:r>
        <w:rPr>
          <w:rFonts w:ascii="仿宋_GB2312" w:eastAsia="仿宋_GB2312"/>
          <w:sz w:val="32"/>
          <w:szCs w:val="32"/>
        </w:rPr>
        <w:t>按照支出功能分类，科学技术支出（类）应用研究（款）机构运行（项）的支出占本年财政拨款支出总额的比重最高，2025年度决算数为2,990.82万元，占比72.28%，主要用于研究院职工工资福利支出、津贴补贴、绩效工资、社会保险缴费等支出。</w:t>
      </w:r>
    </w:p>
    <w:p w14:paraId="0A11AB99">
      <w:pPr>
        <w:spacing w:after="0" w:line="240" w:lineRule="auto"/>
        <w:ind w:firstLine="640" w:firstLineChars="200"/>
        <w:jc w:val="both"/>
        <w:outlineLvl w:val="2"/>
        <w:rPr>
          <w:rFonts w:ascii="黑体" w:eastAsia="黑体"/>
          <w:sz w:val="32"/>
          <w:szCs w:val="32"/>
        </w:rPr>
      </w:pPr>
      <w:r>
        <w:rPr>
          <w:rFonts w:ascii="黑体" w:eastAsia="黑体"/>
          <w:sz w:val="32"/>
          <w:szCs w:val="32"/>
        </w:rPr>
        <w:t>（一）一般公共预算财政拨款支出决算总体情况</w:t>
      </w:r>
    </w:p>
    <w:p w14:paraId="62F0B80A">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2025年度一般公共预算财政拨款支出4,137.60万元，占本年支出合计的73.17%。与上年相比，增加42.55万元，增长1.04%，主要原因是：本年度退休人员增加，退休费增加; 本年在职人员工资调增，社保、公积金基数调增，人员经费增加。与年初预算相比，年初预算数2,819.23万元，决算数4,137.60万元，预决算差异率46.76%，主要原因是：年中追加人员工资、社保、公积金基数调增部分资金，导致预决算存在差异；年中追加中医药研究院申报新疆人才发展基金2025年度第一轮支持资金—“天山英才”培养计划项目，导致预决算存在差异。</w:t>
      </w:r>
    </w:p>
    <w:p w14:paraId="47D13EF5">
      <w:pPr>
        <w:spacing w:after="0" w:line="240" w:lineRule="auto"/>
        <w:ind w:firstLine="640" w:firstLineChars="200"/>
        <w:outlineLvl w:val="2"/>
        <w:rPr>
          <w:rFonts w:ascii="黑体" w:eastAsia="黑体"/>
          <w:sz w:val="32"/>
          <w:szCs w:val="32"/>
        </w:rPr>
      </w:pPr>
      <w:r>
        <w:rPr>
          <w:rFonts w:ascii="黑体" w:eastAsia="黑体"/>
          <w:sz w:val="32"/>
          <w:szCs w:val="32"/>
        </w:rPr>
        <w:t>（二）一般公共预算财政拨款支出决算结构情况</w:t>
      </w:r>
    </w:p>
    <w:p w14:paraId="4169295A">
      <w:pPr>
        <w:spacing w:after="0" w:line="240" w:lineRule="auto"/>
        <w:ind w:firstLine="640" w:firstLineChars="200"/>
        <w:jc w:val="both"/>
        <w:rPr>
          <w:rFonts w:ascii="仿宋_GB2312" w:eastAsia="仿宋_GB2312"/>
          <w:sz w:val="32"/>
          <w:szCs w:val="32"/>
        </w:rPr>
      </w:pPr>
      <w:r>
        <w:rPr>
          <w:rFonts w:ascii="仿宋_GB2312" w:eastAsia="仿宋_GB2312"/>
          <w:sz w:val="32"/>
          <w:szCs w:val="32"/>
        </w:rPr>
        <w:t>1.科学技术支出（类）4,080.30万元，占98.62%。</w:t>
      </w:r>
    </w:p>
    <w:p w14:paraId="7A642E32">
      <w:pPr>
        <w:spacing w:after="0" w:line="240" w:lineRule="auto"/>
        <w:ind w:firstLine="640" w:firstLineChars="200"/>
        <w:jc w:val="both"/>
        <w:rPr>
          <w:rFonts w:ascii="仿宋_GB2312" w:eastAsia="仿宋_GB2312"/>
          <w:sz w:val="32"/>
          <w:szCs w:val="32"/>
        </w:rPr>
      </w:pPr>
      <w:r>
        <w:rPr>
          <w:rFonts w:ascii="仿宋_GB2312" w:eastAsia="仿宋_GB2312"/>
          <w:sz w:val="32"/>
          <w:szCs w:val="32"/>
        </w:rPr>
        <w:t>2.社会保障和就业支出（类）21.57万元，占0.52%。</w:t>
      </w:r>
    </w:p>
    <w:p w14:paraId="704D1F75">
      <w:pPr>
        <w:spacing w:after="0" w:line="240" w:lineRule="auto"/>
        <w:ind w:firstLine="640" w:firstLineChars="200"/>
        <w:jc w:val="both"/>
        <w:rPr>
          <w:rFonts w:ascii="仿宋_GB2312" w:eastAsia="仿宋_GB2312"/>
          <w:sz w:val="32"/>
          <w:szCs w:val="32"/>
        </w:rPr>
      </w:pPr>
      <w:r>
        <w:rPr>
          <w:rFonts w:ascii="仿宋_GB2312" w:eastAsia="仿宋_GB2312"/>
          <w:sz w:val="32"/>
          <w:szCs w:val="32"/>
        </w:rPr>
        <w:t>3.卫生健康支出（类）19.55万元，占0.47%。</w:t>
      </w:r>
    </w:p>
    <w:p w14:paraId="59BCCFE7">
      <w:pPr>
        <w:spacing w:after="0" w:line="240" w:lineRule="auto"/>
        <w:ind w:firstLine="640" w:firstLineChars="200"/>
        <w:jc w:val="both"/>
        <w:rPr>
          <w:rFonts w:ascii="仿宋_GB2312" w:eastAsia="仿宋_GB2312"/>
          <w:sz w:val="32"/>
          <w:szCs w:val="32"/>
        </w:rPr>
      </w:pPr>
      <w:r>
        <w:rPr>
          <w:rFonts w:ascii="仿宋_GB2312" w:eastAsia="仿宋_GB2312"/>
          <w:sz w:val="32"/>
          <w:szCs w:val="32"/>
        </w:rPr>
        <w:t>4.住房保障支出（类）16.18万元，占0.39%。</w:t>
      </w:r>
    </w:p>
    <w:p w14:paraId="3B80A942">
      <w:pPr>
        <w:spacing w:after="0" w:line="240" w:lineRule="auto"/>
        <w:ind w:firstLine="640" w:firstLineChars="200"/>
        <w:outlineLvl w:val="2"/>
        <w:rPr>
          <w:rFonts w:ascii="黑体" w:eastAsia="黑体"/>
          <w:sz w:val="32"/>
          <w:szCs w:val="32"/>
        </w:rPr>
      </w:pPr>
      <w:r>
        <w:rPr>
          <w:rFonts w:ascii="黑体" w:eastAsia="黑体"/>
          <w:sz w:val="32"/>
          <w:szCs w:val="32"/>
        </w:rPr>
        <w:t>（三）一般公共预算财政拨款支出决算具体情况</w:t>
      </w:r>
    </w:p>
    <w:p w14:paraId="51EA28BC">
      <w:pPr>
        <w:spacing w:after="0" w:line="24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eastAsia="zh-CN"/>
        </w:rPr>
        <w:t>.</w:t>
      </w:r>
      <w:r>
        <w:rPr>
          <w:rFonts w:ascii="仿宋_GB2312" w:eastAsia="仿宋_GB2312"/>
          <w:sz w:val="32"/>
          <w:szCs w:val="32"/>
        </w:rPr>
        <w:t>科学技术支出（类）基础研究（款）科技人才队伍建设（项）：支出决算数为1,089.48万元，比上年决算减少72.67万元，下降6.25%，主要原因是：本年度严格管控项目支出，减少非必要的外出培训和交流经费开支，致使科技人才项目较上年有所下降。</w:t>
      </w:r>
    </w:p>
    <w:p w14:paraId="1F299362">
      <w:pPr>
        <w:spacing w:after="0" w:line="240" w:lineRule="auto"/>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lang w:eastAsia="zh-CN"/>
        </w:rPr>
        <w:t>.</w:t>
      </w:r>
      <w:r>
        <w:rPr>
          <w:rFonts w:ascii="仿宋_GB2312" w:eastAsia="仿宋_GB2312"/>
          <w:sz w:val="32"/>
          <w:szCs w:val="32"/>
        </w:rPr>
        <w:t>科学技术支出（类）应用研究（款）机构运行（项）：支出决算数为2,990.82万元，比上年决算增加62.64万元，增长2.14%，主要原因是：本年度退休人员增加，退休费增加</w:t>
      </w:r>
      <w:r>
        <w:rPr>
          <w:rFonts w:hint="eastAsia" w:ascii="仿宋_GB2312" w:eastAsia="仿宋_GB2312"/>
          <w:sz w:val="32"/>
          <w:szCs w:val="32"/>
          <w:lang w:eastAsia="zh-CN"/>
        </w:rPr>
        <w:t>；</w:t>
      </w:r>
      <w:r>
        <w:rPr>
          <w:rFonts w:ascii="仿宋_GB2312" w:eastAsia="仿宋_GB2312"/>
          <w:sz w:val="32"/>
          <w:szCs w:val="32"/>
        </w:rPr>
        <w:t>本年在职人员工资调增，社保、公积金基数调增，人员经费增加。</w:t>
      </w:r>
    </w:p>
    <w:p w14:paraId="1907DD56">
      <w:pPr>
        <w:spacing w:after="0" w:line="240" w:lineRule="auto"/>
        <w:ind w:firstLine="640" w:firstLineChars="200"/>
        <w:rPr>
          <w:rFonts w:ascii="仿宋_GB2312" w:eastAsia="仿宋_GB2312"/>
          <w:sz w:val="32"/>
          <w:szCs w:val="32"/>
          <w:lang w:eastAsia="zh-CN"/>
        </w:rPr>
      </w:pPr>
      <w:r>
        <w:rPr>
          <w:rFonts w:ascii="仿宋_GB2312" w:eastAsia="仿宋_GB2312"/>
          <w:sz w:val="32"/>
          <w:szCs w:val="32"/>
        </w:rPr>
        <w:t>3</w:t>
      </w:r>
      <w:r>
        <w:rPr>
          <w:rFonts w:hint="eastAsia" w:ascii="仿宋_GB2312" w:eastAsia="仿宋_GB2312"/>
          <w:sz w:val="32"/>
          <w:szCs w:val="32"/>
          <w:lang w:eastAsia="zh-CN"/>
        </w:rPr>
        <w:t>.</w:t>
      </w:r>
      <w:r>
        <w:rPr>
          <w:rFonts w:ascii="仿宋_GB2312" w:eastAsia="仿宋_GB2312"/>
          <w:sz w:val="32"/>
          <w:szCs w:val="32"/>
        </w:rPr>
        <w:t>科学技术支出（类）其他科学技术支出（款）其他科学技术支出（项）：支出决算数为0.00万元，比上年决算减少4.72万元，下降100.00%，主要原因是：较上年减少上年度天山英才项目结转资金</w:t>
      </w:r>
      <w:r>
        <w:rPr>
          <w:rFonts w:hint="eastAsia" w:ascii="仿宋_GB2312" w:eastAsia="仿宋_GB2312"/>
          <w:sz w:val="32"/>
          <w:szCs w:val="32"/>
          <w:lang w:eastAsia="zh-CN"/>
        </w:rPr>
        <w:t>。</w:t>
      </w:r>
    </w:p>
    <w:p w14:paraId="5DC2F1B3">
      <w:pPr>
        <w:spacing w:after="0" w:line="240" w:lineRule="auto"/>
        <w:ind w:firstLine="640" w:firstLineChars="200"/>
        <w:rPr>
          <w:rFonts w:hint="eastAsia" w:ascii="仿宋_GB2312" w:eastAsia="仿宋_GB2312"/>
          <w:sz w:val="32"/>
          <w:szCs w:val="32"/>
          <w:lang w:val="en-US" w:eastAsia="zh-CN"/>
        </w:rPr>
      </w:pPr>
      <w:r>
        <w:rPr>
          <w:rFonts w:ascii="仿宋_GB2312" w:eastAsia="仿宋_GB2312"/>
          <w:sz w:val="32"/>
          <w:szCs w:val="32"/>
        </w:rPr>
        <w:t>4</w:t>
      </w:r>
      <w:r>
        <w:rPr>
          <w:rFonts w:hint="eastAsia" w:ascii="仿宋_GB2312" w:eastAsia="仿宋_GB2312"/>
          <w:sz w:val="32"/>
          <w:szCs w:val="32"/>
          <w:lang w:eastAsia="zh-CN"/>
        </w:rPr>
        <w:t>.</w:t>
      </w:r>
      <w:r>
        <w:rPr>
          <w:rFonts w:ascii="仿宋_GB2312" w:eastAsia="仿宋_GB2312"/>
          <w:sz w:val="32"/>
          <w:szCs w:val="32"/>
        </w:rPr>
        <w:t>社会保障和就业支出（类）行政事业单位养老支出（款）机关事业单位基本养老保险缴费支出（项）：支出决算数为21.57万元，比上年决算增加21.57万元，增长100.00%，主要原因是：本年功能科目调整，调增机关事业单位基本养老保险缴费上年度在主科目列支，本年单独列支，导致经费较上年增加</w:t>
      </w:r>
      <w:r>
        <w:rPr>
          <w:rFonts w:hint="eastAsia" w:ascii="仿宋_GB2312" w:eastAsia="仿宋_GB2312"/>
          <w:sz w:val="32"/>
          <w:szCs w:val="32"/>
          <w:lang w:eastAsia="zh-CN"/>
        </w:rPr>
        <w:t>。</w:t>
      </w:r>
    </w:p>
    <w:p w14:paraId="1ABF487B">
      <w:pPr>
        <w:spacing w:after="0" w:line="240" w:lineRule="auto"/>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lang w:eastAsia="zh-CN"/>
        </w:rPr>
        <w:t>.</w:t>
      </w:r>
      <w:r>
        <w:rPr>
          <w:rFonts w:ascii="仿宋_GB2312" w:eastAsia="仿宋_GB2312"/>
          <w:sz w:val="32"/>
          <w:szCs w:val="32"/>
        </w:rPr>
        <w:t>卫生健康支出（类）行政事业单位医疗（款）事业单位医疗（项）：支出决算数为10.11万元，比上年决算增加10.11万元，增长100.00%，主要原因是：本年功能科目调整，调增事业单位医疗支出上年度在主科目列支，本年单独列支，导致经费较上年增加。</w:t>
      </w:r>
    </w:p>
    <w:p w14:paraId="374C521A">
      <w:pPr>
        <w:spacing w:after="0" w:line="240" w:lineRule="auto"/>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lang w:eastAsia="zh-CN"/>
        </w:rPr>
        <w:t>.</w:t>
      </w:r>
      <w:r>
        <w:rPr>
          <w:rFonts w:ascii="仿宋_GB2312" w:eastAsia="仿宋_GB2312"/>
          <w:sz w:val="32"/>
          <w:szCs w:val="32"/>
        </w:rPr>
        <w:t>卫生健康支出（类）行政事业单位医疗（款）公务员医疗补助（项）：支出决算数为9.44万元，比上年决算增加9.44万元，增长100.00%，主要原因是：本年功能科目调整，调增公务员医疗补助支出上年度在主科目列支，本年单独列支，导致经费较上年增加。</w:t>
      </w:r>
    </w:p>
    <w:p w14:paraId="05F68ADD">
      <w:pPr>
        <w:spacing w:after="0" w:line="240" w:lineRule="auto"/>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lang w:eastAsia="zh-CN"/>
        </w:rPr>
        <w:t>.</w:t>
      </w:r>
      <w:r>
        <w:rPr>
          <w:rFonts w:ascii="仿宋_GB2312" w:eastAsia="仿宋_GB2312"/>
          <w:sz w:val="32"/>
          <w:szCs w:val="32"/>
        </w:rPr>
        <w:t>住房保障支出（类）住房改革支出（款）住房公积金（项）：支出决算数为16.18万元，比上年决算增加16.18万元，增长100.00%，主要原因是：本年功能科目调整，调增住房公积金支出上年度在主科目列支，本年单独列支，导致经费较上年增加。</w:t>
      </w:r>
    </w:p>
    <w:p w14:paraId="5E39E479">
      <w:pPr>
        <w:spacing w:after="0" w:line="240" w:lineRule="auto"/>
        <w:ind w:firstLine="640" w:firstLineChars="200"/>
        <w:outlineLvl w:val="1"/>
        <w:rPr>
          <w:rFonts w:ascii="黑体" w:eastAsia="黑体"/>
          <w:sz w:val="32"/>
          <w:szCs w:val="32"/>
        </w:rPr>
      </w:pPr>
      <w:r>
        <w:rPr>
          <w:rFonts w:ascii="黑体" w:eastAsia="黑体"/>
          <w:sz w:val="32"/>
          <w:szCs w:val="32"/>
        </w:rPr>
        <w:t>六、一般公共预算财政拨款基本支出决算情况说明</w:t>
      </w:r>
    </w:p>
    <w:p w14:paraId="6DFEEBE4">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一般公共预算财政拨款基本支出3,048.12万元，其中：人员经费2,803.83万元，包括：基本工资、津贴补贴、绩效工资、机关事业单位基本养老保险缴费、职工基本医疗保险缴费、公务员医疗补助缴费、其他社会保障缴费、住房公积金、退休费和抚恤金。</w:t>
      </w:r>
    </w:p>
    <w:p w14:paraId="67AC8648">
      <w:pPr>
        <w:spacing w:after="0" w:line="240" w:lineRule="auto"/>
        <w:ind w:firstLine="640" w:firstLineChars="200"/>
        <w:jc w:val="both"/>
        <w:rPr>
          <w:rFonts w:ascii="仿宋_GB2312" w:eastAsia="仿宋_GB2312"/>
          <w:sz w:val="32"/>
          <w:szCs w:val="32"/>
        </w:rPr>
      </w:pPr>
      <w:r>
        <w:rPr>
          <w:rFonts w:ascii="仿宋_GB2312" w:eastAsia="仿宋_GB2312"/>
          <w:sz w:val="32"/>
          <w:szCs w:val="32"/>
        </w:rPr>
        <w:t>公用经费244.29万元，包括：水费、电费、邮电费、工会经费、福利费和其他商品和服务支出。</w:t>
      </w:r>
    </w:p>
    <w:p w14:paraId="60A86D1E">
      <w:pPr>
        <w:spacing w:after="0" w:line="240" w:lineRule="auto"/>
        <w:ind w:firstLine="640" w:firstLineChars="200"/>
        <w:outlineLvl w:val="1"/>
        <w:rPr>
          <w:rFonts w:ascii="黑体" w:eastAsia="黑体"/>
          <w:sz w:val="32"/>
          <w:szCs w:val="32"/>
        </w:rPr>
      </w:pPr>
      <w:r>
        <w:rPr>
          <w:rFonts w:ascii="黑体" w:eastAsia="黑体"/>
          <w:sz w:val="32"/>
          <w:szCs w:val="32"/>
        </w:rPr>
        <w:t>七、政府性基金预算财政拨款收入支出决算情况说明</w:t>
      </w:r>
    </w:p>
    <w:p w14:paraId="386F067E">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1658ED83">
      <w:pPr>
        <w:spacing w:after="0" w:line="240" w:lineRule="auto"/>
        <w:ind w:firstLine="640" w:firstLineChars="200"/>
        <w:outlineLvl w:val="1"/>
        <w:rPr>
          <w:rFonts w:ascii="黑体" w:eastAsia="黑体"/>
          <w:sz w:val="32"/>
          <w:szCs w:val="32"/>
        </w:rPr>
      </w:pPr>
      <w:r>
        <w:rPr>
          <w:rFonts w:ascii="黑体" w:eastAsia="黑体"/>
          <w:sz w:val="32"/>
          <w:szCs w:val="32"/>
        </w:rPr>
        <w:t>八、国有资本经营预算财政拨款收入支出决算情况说明</w:t>
      </w:r>
    </w:p>
    <w:p w14:paraId="6C9C76FB">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498D6475">
      <w:pPr>
        <w:spacing w:after="0" w:line="240" w:lineRule="auto"/>
        <w:ind w:firstLine="640" w:firstLineChars="200"/>
        <w:outlineLvl w:val="1"/>
        <w:rPr>
          <w:rFonts w:ascii="黑体" w:eastAsia="黑体"/>
          <w:sz w:val="32"/>
          <w:szCs w:val="32"/>
        </w:rPr>
      </w:pPr>
      <w:r>
        <w:rPr>
          <w:rFonts w:ascii="黑体" w:eastAsia="黑体"/>
          <w:sz w:val="32"/>
          <w:szCs w:val="32"/>
        </w:rPr>
        <w:t>九、财政拨款“三公”经费支出决算情况说明</w:t>
      </w:r>
    </w:p>
    <w:p w14:paraId="5053BE49">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财政拨款“三公”经费支出0.00万元，与上年相比无变化，主要原因是：2024年度与2025年度均未安排财政拨款“三公”经费支出。其中：因公出国（境）费用支出0.00万元,占0.00%，与上年相比无变化，主要原因是：2024年度与2025年度均未安排因公出国（境）费支出；公务用车购置及运行维护费支出0.00万元，占0.00%，与上年相比无变化，主要原因是：2024年度与2025年度均未安排公务用车购置及运行维护费支出；公务接待费支出0.00万元，占0.00%，与上年相比无变化，主要原因是：2024年度与2025年度均未安排公务接待费支出。</w:t>
      </w:r>
    </w:p>
    <w:p w14:paraId="37B7D1EF">
      <w:pPr>
        <w:spacing w:after="0" w:line="240" w:lineRule="auto"/>
        <w:ind w:firstLine="640" w:firstLineChars="200"/>
        <w:rPr>
          <w:rFonts w:ascii="仿宋_GB2312" w:eastAsia="仿宋_GB2312"/>
          <w:sz w:val="32"/>
          <w:szCs w:val="32"/>
        </w:rPr>
      </w:pPr>
      <w:r>
        <w:rPr>
          <w:rFonts w:ascii="仿宋_GB2312" w:eastAsia="仿宋_GB2312"/>
          <w:sz w:val="32"/>
          <w:szCs w:val="32"/>
        </w:rPr>
        <w:t>具体情况如下：</w:t>
      </w:r>
    </w:p>
    <w:p w14:paraId="21FD8861">
      <w:pPr>
        <w:spacing w:after="0" w:line="240" w:lineRule="auto"/>
        <w:ind w:firstLine="640" w:firstLineChars="200"/>
        <w:jc w:val="both"/>
        <w:rPr>
          <w:rFonts w:ascii="仿宋_GB2312" w:eastAsia="仿宋_GB2312"/>
          <w:sz w:val="32"/>
          <w:szCs w:val="32"/>
        </w:rPr>
      </w:pPr>
      <w:r>
        <w:rPr>
          <w:rFonts w:ascii="仿宋_GB2312" w:eastAsia="仿宋_GB2312"/>
          <w:sz w:val="32"/>
          <w:szCs w:val="32"/>
        </w:rPr>
        <w:t>因公出国（境）费用0.00万元，开支内容包括我单位未安排因公出国（境）费支出。单位全年安排的因公出国（境）团组0个，因公出国（境）0人次。</w:t>
      </w:r>
    </w:p>
    <w:p w14:paraId="1665C0D1">
      <w:pPr>
        <w:spacing w:after="0" w:line="240" w:lineRule="auto"/>
        <w:ind w:firstLine="640" w:firstLineChars="200"/>
        <w:jc w:val="both"/>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我单位未安排公务用车运行维护费支出。公务用车购置数0辆，公务用车保有量0辆。国有资产占用情况中固定资产车辆0辆，与公务用车保有量差异原因是：</w:t>
      </w:r>
      <w:r>
        <w:rPr>
          <w:rFonts w:ascii="仿宋_GB2312" w:eastAsia="仿宋_GB2312"/>
          <w:b w:val="0"/>
          <w:sz w:val="32"/>
          <w:szCs w:val="32"/>
        </w:rPr>
        <w:t>本单位公务用车保有量与固定资产车辆一致无差异</w:t>
      </w:r>
      <w:r>
        <w:rPr>
          <w:rFonts w:ascii="仿宋_GB2312" w:eastAsia="仿宋_GB2312"/>
          <w:sz w:val="32"/>
          <w:szCs w:val="32"/>
        </w:rPr>
        <w:t>。</w:t>
      </w:r>
    </w:p>
    <w:p w14:paraId="58A2C1A7">
      <w:pPr>
        <w:spacing w:after="0" w:line="240" w:lineRule="auto"/>
        <w:ind w:firstLine="640" w:firstLineChars="200"/>
        <w:jc w:val="both"/>
        <w:rPr>
          <w:rFonts w:ascii="仿宋_GB2312" w:eastAsia="仿宋_GB2312"/>
          <w:sz w:val="32"/>
          <w:szCs w:val="32"/>
        </w:rPr>
      </w:pPr>
      <w:r>
        <w:rPr>
          <w:rFonts w:ascii="仿宋_GB2312" w:eastAsia="仿宋_GB2312"/>
          <w:sz w:val="32"/>
          <w:szCs w:val="32"/>
        </w:rPr>
        <w:t>公务接待费0.00万元，开支内容包括我单位未安排公务接待费支出。单位全年安排的国内公务接待0批次，0人次。</w:t>
      </w:r>
    </w:p>
    <w:p w14:paraId="76EC188E">
      <w:pPr>
        <w:spacing w:after="0" w:line="240" w:lineRule="auto"/>
        <w:ind w:firstLine="640" w:firstLineChars="200"/>
        <w:jc w:val="both"/>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我单位未安排财政拨款“三公”经费支出。其中：因公出国（境）费用全年预算数0.00万元，决算数0.00万元，预决算差异率0.00%，主要原因是：我单位未安排因公出国（境）费支出；公务用车购置费全年预算数0.00万元，决算数0.00万元，预决算差异率0.00%，主要原因是：我单位未安排公务用车购置支出；公务用车运行维护费全年预算数0.00万元，决算数0.00万元，预决算差异率0.00%，主要原因是：我单位未安排公务用车运行维护费支出；公务接待费全年预算数0.00万元，决算数0.00万元，预决算差异率0.00%，主要原因是：我单位未安排公务接待费支出。</w:t>
      </w:r>
    </w:p>
    <w:p w14:paraId="5A76E736">
      <w:pPr>
        <w:spacing w:after="0" w:line="240" w:lineRule="auto"/>
        <w:ind w:firstLine="640" w:firstLineChars="200"/>
        <w:outlineLvl w:val="1"/>
        <w:rPr>
          <w:rFonts w:ascii="黑体" w:eastAsia="黑体"/>
          <w:sz w:val="32"/>
          <w:szCs w:val="32"/>
        </w:rPr>
      </w:pPr>
      <w:r>
        <w:rPr>
          <w:rFonts w:ascii="黑体" w:eastAsia="黑体"/>
          <w:sz w:val="32"/>
          <w:szCs w:val="32"/>
        </w:rPr>
        <w:t>十、其他重要事项的情况说明</w:t>
      </w:r>
    </w:p>
    <w:p w14:paraId="1E90E48D">
      <w:pPr>
        <w:spacing w:after="0" w:line="240" w:lineRule="auto"/>
        <w:ind w:firstLine="640" w:firstLineChars="200"/>
        <w:outlineLvl w:val="2"/>
        <w:rPr>
          <w:rFonts w:ascii="黑体" w:eastAsia="黑体"/>
          <w:sz w:val="32"/>
          <w:szCs w:val="32"/>
        </w:rPr>
      </w:pPr>
      <w:r>
        <w:rPr>
          <w:rFonts w:ascii="黑体" w:eastAsia="黑体"/>
          <w:sz w:val="32"/>
          <w:szCs w:val="32"/>
        </w:rPr>
        <w:t>（一）机关运行经费及公用经费支出情况</w:t>
      </w:r>
    </w:p>
    <w:p w14:paraId="379CB836">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2025年度新疆维吾尔自治区中医药研究院（事业单位）公用经费支出244.29万元，比上年减少14.49万元，下降5.60%，主要原因是：严格控制公用经费，合理节约办公用品，减少不必要开支。</w:t>
      </w:r>
    </w:p>
    <w:p w14:paraId="1253B1EF">
      <w:pPr>
        <w:spacing w:after="0" w:line="240" w:lineRule="auto"/>
        <w:ind w:firstLine="640" w:firstLineChars="200"/>
        <w:outlineLvl w:val="2"/>
        <w:rPr>
          <w:rFonts w:ascii="黑体" w:eastAsia="黑体"/>
          <w:sz w:val="32"/>
          <w:szCs w:val="32"/>
        </w:rPr>
      </w:pPr>
      <w:r>
        <w:rPr>
          <w:rFonts w:ascii="黑体" w:eastAsia="黑体"/>
          <w:sz w:val="32"/>
          <w:szCs w:val="32"/>
        </w:rPr>
        <w:t>（二）政府采购情况</w:t>
      </w:r>
    </w:p>
    <w:p w14:paraId="2FDDC7C9">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2025年度政府采购支出总额0.00万元，其中：政府采购货物支出0.00万元、政府采购工程支出0.00万元、政府采购服务支出0.00万元。</w:t>
      </w:r>
    </w:p>
    <w:p w14:paraId="6A463911">
      <w:pPr>
        <w:spacing w:after="0" w:line="240" w:lineRule="auto"/>
        <w:ind w:firstLine="640" w:firstLineChars="200"/>
        <w:jc w:val="both"/>
        <w:rPr>
          <w:rFonts w:ascii="仿宋_GB2312" w:eastAsia="仿宋_GB2312"/>
          <w:sz w:val="32"/>
          <w:szCs w:val="32"/>
        </w:rPr>
      </w:pPr>
      <w:r>
        <w:rPr>
          <w:rFonts w:ascii="仿宋_GB2312" w:eastAsia="仿宋_GB2312"/>
          <w:sz w:val="32"/>
          <w:szCs w:val="32"/>
        </w:rPr>
        <w:t>授予中小企业合同金额0.00万元，占政府采购支出总额的0.00%，其中：授予小微企业合同金额0.00万元，占政府采购支出总额的0.00%。</w:t>
      </w:r>
    </w:p>
    <w:p w14:paraId="23083338">
      <w:pPr>
        <w:spacing w:after="0" w:line="240" w:lineRule="auto"/>
        <w:ind w:firstLine="640" w:firstLineChars="200"/>
        <w:outlineLvl w:val="2"/>
        <w:rPr>
          <w:rFonts w:ascii="黑体" w:eastAsia="黑体"/>
          <w:sz w:val="32"/>
          <w:szCs w:val="32"/>
        </w:rPr>
      </w:pPr>
      <w:r>
        <w:rPr>
          <w:rFonts w:ascii="黑体" w:eastAsia="黑体"/>
          <w:sz w:val="32"/>
          <w:szCs w:val="32"/>
        </w:rPr>
        <w:t>（三）国有资产占用情况说明</w:t>
      </w:r>
    </w:p>
    <w:p w14:paraId="0CA1B05B">
      <w:pPr>
        <w:spacing w:after="0" w:line="240" w:lineRule="auto"/>
        <w:ind w:firstLine="640" w:firstLineChars="200"/>
        <w:jc w:val="both"/>
        <w:rPr>
          <w:rFonts w:ascii="仿宋_GB2312" w:eastAsia="仿宋_GB2312"/>
          <w:sz w:val="32"/>
          <w:szCs w:val="32"/>
        </w:rPr>
      </w:pPr>
      <w:r>
        <w:rPr>
          <w:rFonts w:ascii="仿宋_GB2312" w:eastAsia="仿宋_GB2312"/>
          <w:sz w:val="32"/>
          <w:szCs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车辆</w:t>
      </w:r>
      <w:bookmarkStart w:id="0" w:name="_GoBack"/>
      <w:bookmarkEnd w:id="0"/>
      <w:r>
        <w:rPr>
          <w:rFonts w:ascii="仿宋_GB2312" w:eastAsia="仿宋_GB2312"/>
          <w:sz w:val="32"/>
          <w:szCs w:val="32"/>
        </w:rPr>
        <w:t>;单价100万元（含）以上设备（不含车辆）0台（套）。</w:t>
      </w:r>
    </w:p>
    <w:p w14:paraId="31F751B3">
      <w:pPr>
        <w:spacing w:after="0" w:line="240" w:lineRule="auto"/>
        <w:ind w:firstLine="640" w:firstLineChars="200"/>
        <w:outlineLvl w:val="1"/>
        <w:rPr>
          <w:rFonts w:ascii="黑体" w:eastAsia="黑体"/>
          <w:sz w:val="32"/>
          <w:szCs w:val="32"/>
        </w:rPr>
      </w:pPr>
      <w:r>
        <w:rPr>
          <w:rFonts w:ascii="黑体" w:eastAsia="黑体"/>
          <w:sz w:val="32"/>
          <w:szCs w:val="32"/>
        </w:rPr>
        <w:t>十一、预算绩效的情况说明</w:t>
      </w:r>
    </w:p>
    <w:p w14:paraId="7806142B">
      <w:pPr>
        <w:spacing w:after="0" w:line="240" w:lineRule="auto"/>
        <w:ind w:firstLine="640" w:firstLineChars="200"/>
        <w:jc w:val="both"/>
        <w:rPr>
          <w:rFonts w:ascii="仿宋_GB2312" w:eastAsia="仿宋_GB2312"/>
          <w:sz w:val="32"/>
          <w:szCs w:val="32"/>
        </w:rPr>
      </w:pPr>
      <w:r>
        <w:rPr>
          <w:rFonts w:ascii="仿宋_GB2312" w:eastAsia="仿宋_GB2312"/>
          <w:sz w:val="32"/>
          <w:szCs w:val="32"/>
        </w:rPr>
        <w:t>根据预算绩效管理要求，本单位2025年度预算绩效评价项目1个，全年预算数1,500.00万元，全年执行数1,500.00万元。预算绩效管理取得的成效：一是健全绩效管理工作机制，明确职责分工；二是加强事中绩效跟踪监控。发现的问题及原因：一是认识性不足，部分工作人员对预算绩效管理的核心内涵和重要价值理解不够深入，未能充分将绩效理念贯穿预算编制、执行与监控的全流程；二是评价指标体系有待健全完善。下一步改进措施：一是提高认识，进一步强化单位内部绩效理念宣传培训，引导全体工作人员充分把握预算绩效管理的要求，把绩效意识落实到预算管理各环节；二是完善符合项目本身的指标体系。具体附项目支出绩效自评表。</w:t>
      </w:r>
    </w:p>
    <w:p w14:paraId="1C40B527">
      <w:pPr>
        <w:spacing w:after="0" w:line="240" w:lineRule="auto"/>
        <w:ind w:firstLine="640" w:firstLineChars="200"/>
        <w:outlineLvl w:val="1"/>
        <w:rPr>
          <w:rFonts w:ascii="黑体" w:eastAsia="黑体"/>
          <w:sz w:val="32"/>
          <w:szCs w:val="32"/>
        </w:rPr>
      </w:pPr>
      <w:r>
        <w:rPr>
          <w:rFonts w:ascii="黑体" w:eastAsia="黑体"/>
          <w:sz w:val="32"/>
          <w:szCs w:val="32"/>
        </w:rPr>
        <w:t>十二、其他需说明的事项</w:t>
      </w:r>
    </w:p>
    <w:p w14:paraId="797252A3">
      <w:pPr>
        <w:spacing w:after="0" w:line="240" w:lineRule="auto"/>
        <w:ind w:firstLine="640" w:firstLineChars="200"/>
        <w:rPr>
          <w:rFonts w:ascii="仿宋_GB2312" w:eastAsia="仿宋_GB2312"/>
          <w:sz w:val="32"/>
          <w:szCs w:val="32"/>
        </w:rPr>
      </w:pPr>
      <w:r>
        <w:rPr>
          <w:rFonts w:ascii="仿宋_GB2312" w:eastAsia="仿宋_GB2312"/>
          <w:sz w:val="32"/>
          <w:szCs w:val="32"/>
        </w:rPr>
        <w:t>本单位2025年度无政府采购支出，授予中小企业合同金额0.00万元。</w:t>
      </w:r>
    </w:p>
    <w:p w14:paraId="31D91D45">
      <w:r>
        <w:rPr>
          <w:sz w:val="0"/>
          <w:szCs w:val="0"/>
        </w:rPr>
        <w:br w:type="page"/>
      </w:r>
    </w:p>
    <w:p w14:paraId="7144A2D3">
      <w:pPr>
        <w:spacing w:after="0" w:line="240" w:lineRule="auto"/>
        <w:jc w:val="center"/>
        <w:outlineLvl w:val="0"/>
        <w:rPr>
          <w:rFonts w:ascii="黑体" w:eastAsia="黑体"/>
          <w:sz w:val="32"/>
          <w:szCs w:val="32"/>
        </w:rPr>
      </w:pPr>
      <w:r>
        <w:rPr>
          <w:rFonts w:ascii="黑体" w:eastAsia="黑体"/>
          <w:sz w:val="32"/>
          <w:szCs w:val="32"/>
        </w:rPr>
        <w:t>第三部分 专业名词解释</w:t>
      </w:r>
    </w:p>
    <w:p w14:paraId="712772C8">
      <w:pPr>
        <w:spacing w:after="0" w:line="240" w:lineRule="auto"/>
        <w:ind w:firstLine="643" w:firstLineChars="200"/>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指单位本年度从同级财政部门取得的财政拨款，包括一般公共预算财政拨款、政府性基金预算财政拨款和国有资本经营预算财政拨款。</w:t>
      </w:r>
    </w:p>
    <w:p w14:paraId="116B65DC">
      <w:pPr>
        <w:spacing w:after="0" w:line="240" w:lineRule="auto"/>
        <w:ind w:firstLine="643" w:firstLineChars="200"/>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602F5E7E">
      <w:pPr>
        <w:spacing w:after="0" w:line="240" w:lineRule="auto"/>
        <w:ind w:firstLine="643" w:firstLineChars="200"/>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指事业单位开展专业业务活动及其辅助活动取得的收入。</w:t>
      </w:r>
    </w:p>
    <w:p w14:paraId="1449031C">
      <w:pPr>
        <w:spacing w:after="0" w:line="240" w:lineRule="auto"/>
        <w:ind w:firstLine="643" w:firstLineChars="200"/>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5008FBE6">
      <w:pPr>
        <w:spacing w:after="0" w:line="240" w:lineRule="auto"/>
        <w:ind w:firstLine="643" w:firstLineChars="200"/>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指事业单位附属独立核算单位按照有关规定上缴的收入。</w:t>
      </w:r>
    </w:p>
    <w:p w14:paraId="03B47F46">
      <w:pPr>
        <w:spacing w:after="0" w:line="240" w:lineRule="auto"/>
        <w:ind w:firstLine="643" w:firstLineChars="200"/>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指单位取得的除上述“财政拨款收入”“上级补助收入”“事业收入”“经营收入”“附属单位上缴收入”以外的各项收入。</w:t>
      </w:r>
    </w:p>
    <w:p w14:paraId="3E83564E">
      <w:pPr>
        <w:spacing w:after="0" w:line="240" w:lineRule="auto"/>
        <w:ind w:firstLine="643" w:firstLineChars="200"/>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指单位上年结转本年使用的基本支出结转、项目支出结转和结余、经营结余。</w:t>
      </w:r>
    </w:p>
    <w:p w14:paraId="4F92B8D0">
      <w:pPr>
        <w:spacing w:after="0" w:line="240" w:lineRule="auto"/>
        <w:ind w:firstLine="643" w:firstLineChars="200"/>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sz w:val="32"/>
          <w:szCs w:val="32"/>
        </w:rPr>
        <w:t>指单位按照预算管理要求使用非财政拨款结余弥补收支差额的金额，以及使用专用结余安排支出的金额。</w:t>
      </w:r>
    </w:p>
    <w:p w14:paraId="4AC8F288">
      <w:pPr>
        <w:spacing w:after="0" w:line="240" w:lineRule="auto"/>
        <w:ind w:firstLine="643" w:firstLineChars="200"/>
        <w:rPr>
          <w:rFonts w:ascii="仿宋_GB2312" w:eastAsia="仿宋_GB2312"/>
          <w:sz w:val="32"/>
          <w:szCs w:val="32"/>
        </w:rPr>
      </w:pPr>
      <w:r>
        <w:rPr>
          <w:rFonts w:ascii="仿宋_GB2312" w:eastAsia="仿宋_GB2312"/>
          <w:b/>
          <w:sz w:val="32"/>
          <w:szCs w:val="32"/>
        </w:rPr>
        <w:t>九、结余分配</w:t>
      </w:r>
      <w:r>
        <w:rPr>
          <w:rFonts w:ascii="仿宋_GB2312" w:eastAsia="仿宋_GB2312"/>
          <w:sz w:val="32"/>
          <w:szCs w:val="32"/>
        </w:rPr>
        <w:t>：指单位缴纳企业所得税以及从非财政拨款结余或经营结余中提取各类结余的情况。</w:t>
      </w:r>
    </w:p>
    <w:p w14:paraId="1A0D259F">
      <w:pPr>
        <w:spacing w:after="0" w:line="240" w:lineRule="auto"/>
        <w:ind w:firstLine="643" w:firstLineChars="200"/>
        <w:rPr>
          <w:rFonts w:ascii="仿宋_GB2312" w:eastAsia="仿宋_GB2312"/>
          <w:sz w:val="32"/>
          <w:szCs w:val="32"/>
        </w:rPr>
      </w:pPr>
      <w:r>
        <w:rPr>
          <w:rFonts w:ascii="仿宋_GB2312" w:eastAsia="仿宋_GB2312"/>
          <w:b/>
          <w:sz w:val="32"/>
          <w:szCs w:val="32"/>
        </w:rPr>
        <w:t>十、年末结转和结余</w:t>
      </w:r>
      <w:r>
        <w:rPr>
          <w:rFonts w:ascii="仿宋_GB2312" w:eastAsia="仿宋_GB2312"/>
          <w:sz w:val="32"/>
          <w:szCs w:val="32"/>
        </w:rPr>
        <w:t>：指单位结转下年的基本支出结转、项目支出结转和结余、经营结余。</w:t>
      </w:r>
    </w:p>
    <w:p w14:paraId="056912EA">
      <w:pPr>
        <w:spacing w:after="0" w:line="240" w:lineRule="auto"/>
        <w:ind w:firstLine="643" w:firstLineChars="200"/>
        <w:rPr>
          <w:rFonts w:ascii="仿宋_GB2312" w:eastAsia="仿宋_GB2312"/>
          <w:sz w:val="32"/>
          <w:szCs w:val="32"/>
        </w:rPr>
      </w:pPr>
      <w:r>
        <w:rPr>
          <w:rFonts w:ascii="仿宋_GB2312" w:eastAsia="仿宋_GB2312"/>
          <w:b/>
          <w:sz w:val="32"/>
          <w:szCs w:val="32"/>
        </w:rPr>
        <w:t>十一、基本支出</w:t>
      </w:r>
      <w:r>
        <w:rPr>
          <w:rFonts w:ascii="仿宋_GB2312" w:eastAsia="仿宋_GB2312"/>
          <w:sz w:val="32"/>
          <w:szCs w:val="32"/>
        </w:rPr>
        <w:t>：指单位为保障机构正常运转、完成日常工作任务而发生的各项支出。</w:t>
      </w:r>
    </w:p>
    <w:p w14:paraId="2B075FCB">
      <w:pPr>
        <w:spacing w:after="0" w:line="240" w:lineRule="auto"/>
        <w:ind w:firstLine="643" w:firstLineChars="200"/>
        <w:rPr>
          <w:rFonts w:ascii="仿宋_GB2312" w:eastAsia="仿宋_GB2312"/>
          <w:sz w:val="32"/>
          <w:szCs w:val="32"/>
        </w:rPr>
      </w:pPr>
      <w:r>
        <w:rPr>
          <w:rFonts w:ascii="仿宋_GB2312" w:eastAsia="仿宋_GB2312"/>
          <w:b/>
          <w:sz w:val="32"/>
          <w:szCs w:val="32"/>
        </w:rPr>
        <w:t>十二、项目支出：</w:t>
      </w:r>
      <w:r>
        <w:rPr>
          <w:rFonts w:ascii="仿宋_GB2312" w:eastAsia="仿宋_GB2312"/>
          <w:sz w:val="32"/>
          <w:szCs w:val="32"/>
        </w:rPr>
        <w:t>指单位为完成特定的行政工作任务或事业发展目标，在基本支出之外发生的各项支出。</w:t>
      </w:r>
    </w:p>
    <w:p w14:paraId="54F2BED8">
      <w:pPr>
        <w:spacing w:after="0" w:line="240" w:lineRule="auto"/>
        <w:ind w:firstLine="643" w:firstLineChars="200"/>
        <w:rPr>
          <w:rFonts w:ascii="仿宋_GB2312" w:eastAsia="仿宋_GB2312"/>
          <w:sz w:val="32"/>
          <w:szCs w:val="32"/>
        </w:rPr>
      </w:pPr>
      <w:r>
        <w:rPr>
          <w:rFonts w:ascii="仿宋_GB2312" w:eastAsia="仿宋_GB2312"/>
          <w:b/>
          <w:sz w:val="32"/>
          <w:szCs w:val="32"/>
        </w:rPr>
        <w:t>十三、上缴上级支出：</w:t>
      </w:r>
      <w:r>
        <w:rPr>
          <w:rFonts w:ascii="仿宋_GB2312" w:eastAsia="仿宋_GB2312"/>
          <w:sz w:val="32"/>
          <w:szCs w:val="32"/>
        </w:rPr>
        <w:t>指事业单位按照财政部门和主管部门的规定上缴上级单位的支出。</w:t>
      </w:r>
    </w:p>
    <w:p w14:paraId="7F9044F9">
      <w:pPr>
        <w:spacing w:after="0" w:line="240" w:lineRule="auto"/>
        <w:ind w:firstLine="643" w:firstLineChars="200"/>
        <w:rPr>
          <w:rFonts w:ascii="仿宋_GB2312" w:eastAsia="仿宋_GB2312"/>
          <w:sz w:val="32"/>
          <w:szCs w:val="32"/>
        </w:rPr>
      </w:pPr>
      <w:r>
        <w:rPr>
          <w:rFonts w:ascii="仿宋_GB2312" w:eastAsia="仿宋_GB2312"/>
          <w:b/>
          <w:sz w:val="32"/>
          <w:szCs w:val="32"/>
        </w:rPr>
        <w:t>十四、经营支出：</w:t>
      </w:r>
      <w:r>
        <w:rPr>
          <w:rFonts w:ascii="仿宋_GB2312" w:eastAsia="仿宋_GB2312"/>
          <w:sz w:val="32"/>
          <w:szCs w:val="32"/>
        </w:rPr>
        <w:t>指事业单位在专业活动及辅助活动之外开展非独立核算经营活动发生的支出。</w:t>
      </w:r>
    </w:p>
    <w:p w14:paraId="5CB302DC">
      <w:pPr>
        <w:spacing w:after="0" w:line="240" w:lineRule="auto"/>
        <w:ind w:firstLine="643" w:firstLineChars="200"/>
        <w:rPr>
          <w:rFonts w:ascii="宋体" w:eastAsia="仿宋_GB2312"/>
          <w:sz w:val="32"/>
          <w:szCs w:val="32"/>
        </w:rPr>
      </w:pPr>
      <w:r>
        <w:rPr>
          <w:rFonts w:ascii="宋体" w:eastAsia="仿宋_GB2312"/>
          <w:b/>
          <w:sz w:val="32"/>
          <w:szCs w:val="32"/>
        </w:rPr>
        <w:t>十五、对附属单位补助支出：</w:t>
      </w:r>
      <w:r>
        <w:rPr>
          <w:rFonts w:ascii="宋体" w:eastAsia="仿宋_GB2312"/>
          <w:sz w:val="32"/>
          <w:szCs w:val="32"/>
        </w:rPr>
        <w:t>指事业单位用财政补助收入之外的收入对附属单位补助发生的支出。</w:t>
      </w:r>
    </w:p>
    <w:p w14:paraId="5A819C3E">
      <w:pPr>
        <w:spacing w:after="0" w:line="240" w:lineRule="auto"/>
        <w:ind w:firstLine="643" w:firstLineChars="200"/>
        <w:rPr>
          <w:rFonts w:ascii="仿宋_GB2312" w:eastAsia="仿宋_GB2312"/>
          <w:sz w:val="32"/>
          <w:szCs w:val="32"/>
        </w:rPr>
      </w:pPr>
      <w:r>
        <w:rPr>
          <w:rFonts w:ascii="仿宋_GB2312" w:eastAsia="仿宋_GB2312"/>
          <w:b/>
          <w:sz w:val="32"/>
          <w:szCs w:val="32"/>
        </w:rPr>
        <w:t>十六、“三公”经费：</w:t>
      </w:r>
      <w:r>
        <w:rPr>
          <w:rFonts w:ascii="仿宋_GB2312" w:eastAsia="仿宋_GB2312"/>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953ED10">
      <w:pPr>
        <w:spacing w:after="0" w:line="240" w:lineRule="auto"/>
        <w:ind w:firstLine="643" w:firstLineChars="200"/>
        <w:rPr>
          <w:rFonts w:ascii="仿宋_GB2312" w:eastAsia="仿宋_GB2312"/>
          <w:sz w:val="32"/>
          <w:szCs w:val="32"/>
        </w:rPr>
      </w:pPr>
      <w:r>
        <w:rPr>
          <w:rFonts w:ascii="仿宋_GB2312" w:eastAsia="仿宋_GB2312"/>
          <w:b/>
          <w:sz w:val="32"/>
          <w:szCs w:val="32"/>
        </w:rPr>
        <w:t>十七、机关运行经费：</w:t>
      </w:r>
      <w:r>
        <w:rPr>
          <w:rFonts w:ascii="仿宋_GB2312" w:eastAsia="仿宋_GB2312"/>
          <w:sz w:val="32"/>
          <w:szCs w:val="32"/>
        </w:rPr>
        <w:t>指行政单位和参照公务员法管理的事业单位财政拨款基本支出中的公用经费支出。</w:t>
      </w:r>
    </w:p>
    <w:p w14:paraId="63BA3FEC">
      <w:r>
        <w:rPr>
          <w:sz w:val="0"/>
          <w:szCs w:val="0"/>
        </w:rPr>
        <w:br w:type="page"/>
      </w:r>
    </w:p>
    <w:p w14:paraId="7B333B04">
      <w:pPr>
        <w:spacing w:after="0" w:line="240" w:lineRule="auto"/>
        <w:jc w:val="center"/>
        <w:outlineLvl w:val="0"/>
        <w:rPr>
          <w:rFonts w:ascii="黑体" w:eastAsia="黑体"/>
          <w:sz w:val="32"/>
          <w:szCs w:val="32"/>
        </w:rPr>
      </w:pPr>
      <w:r>
        <w:rPr>
          <w:rFonts w:ascii="黑体" w:eastAsia="黑体"/>
          <w:sz w:val="32"/>
          <w:szCs w:val="32"/>
        </w:rPr>
        <w:t>第四部分 部门决算报表（见附表）</w:t>
      </w:r>
    </w:p>
    <w:p w14:paraId="776BF313">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一、《收入支出决算总表》</w:t>
      </w:r>
    </w:p>
    <w:p w14:paraId="03590C07">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二、《收入决算表》</w:t>
      </w:r>
    </w:p>
    <w:p w14:paraId="0A2F2038">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三、《支出决算表》</w:t>
      </w:r>
    </w:p>
    <w:p w14:paraId="4CF3B63F">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四、《财政拨款收入支出决算总表》</w:t>
      </w:r>
    </w:p>
    <w:p w14:paraId="3CA367AD">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五、《一般公共预算财政拨款支出决算表》</w:t>
      </w:r>
    </w:p>
    <w:p w14:paraId="63CD3B0D">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六、《一般公共预算财政拨款基本支出决算表》</w:t>
      </w:r>
    </w:p>
    <w:p w14:paraId="535F4E71">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七、《政府性基金预算财政拨款收入支出决算表》</w:t>
      </w:r>
    </w:p>
    <w:p w14:paraId="0A513466">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6853DD62">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175590"/>
    <w:rsid w:val="00175590"/>
    <w:rsid w:val="00714D9C"/>
    <w:rsid w:val="00C47853"/>
    <w:rsid w:val="00C84DEB"/>
    <w:rsid w:val="00FE0646"/>
    <w:rsid w:val="093C307F"/>
    <w:rsid w:val="6E5F5856"/>
    <w:rsid w:val="7408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2"/>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3"/>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4"/>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5"/>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annotation text"/>
    <w:basedOn w:val="1"/>
    <w:link w:val="29"/>
    <w:semiHidden/>
    <w:unhideWhenUsed/>
    <w:qFormat/>
    <w:uiPriority w:val="99"/>
  </w:style>
  <w:style w:type="paragraph" w:styleId="9">
    <w:name w:val="Balloon Text"/>
    <w:basedOn w:val="1"/>
    <w:link w:val="31"/>
    <w:semiHidden/>
    <w:unhideWhenUsed/>
    <w:qFormat/>
    <w:uiPriority w:val="99"/>
    <w:pPr>
      <w:spacing w:after="0" w:line="240" w:lineRule="auto"/>
    </w:pPr>
    <w:rPr>
      <w:sz w:val="18"/>
      <w:szCs w:val="18"/>
    </w:rPr>
  </w:style>
  <w:style w:type="paragraph" w:styleId="10">
    <w:name w:val="footer"/>
    <w:basedOn w:val="1"/>
    <w:link w:val="28"/>
    <w:unhideWhenUsed/>
    <w:qFormat/>
    <w:uiPriority w:val="99"/>
    <w:pPr>
      <w:tabs>
        <w:tab w:val="center" w:pos="4153"/>
        <w:tab w:val="right" w:pos="8306"/>
      </w:tabs>
      <w:snapToGrid w:val="0"/>
      <w:spacing w:line="240" w:lineRule="auto"/>
    </w:pPr>
    <w:rPr>
      <w:sz w:val="18"/>
      <w:szCs w:val="18"/>
    </w:rPr>
  </w:style>
  <w:style w:type="paragraph" w:styleId="11">
    <w:name w:val="header"/>
    <w:basedOn w:val="1"/>
    <w:link w:val="21"/>
    <w:unhideWhenUsed/>
    <w:qFormat/>
    <w:uiPriority w:val="99"/>
    <w:pPr>
      <w:tabs>
        <w:tab w:val="center" w:pos="4680"/>
        <w:tab w:val="right" w:pos="9360"/>
      </w:tabs>
    </w:pPr>
  </w:style>
  <w:style w:type="paragraph" w:styleId="12">
    <w:name w:val="Subtitle"/>
    <w:basedOn w:val="1"/>
    <w:next w:val="1"/>
    <w:link w:val="26"/>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3">
    <w:name w:val="Title"/>
    <w:basedOn w:val="1"/>
    <w:next w:val="1"/>
    <w:link w:val="27"/>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4">
    <w:name w:val="annotation subject"/>
    <w:basedOn w:val="8"/>
    <w:next w:val="8"/>
    <w:link w:val="30"/>
    <w:semiHidden/>
    <w:unhideWhenUsed/>
    <w:qFormat/>
    <w:uiPriority w:val="99"/>
    <w:rPr>
      <w:b/>
      <w:bCs/>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Emphasis"/>
    <w:basedOn w:val="17"/>
    <w:qFormat/>
    <w:uiPriority w:val="20"/>
    <w:rPr>
      <w:i/>
      <w:iCs/>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11"/>
    <w:qFormat/>
    <w:uiPriority w:val="99"/>
  </w:style>
  <w:style w:type="character" w:customStyle="1" w:styleId="22">
    <w:name w:val="标题 1 字符"/>
    <w:basedOn w:val="17"/>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23">
    <w:name w:val="标题 2 字符"/>
    <w:basedOn w:val="17"/>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4">
    <w:name w:val="标题 3 字符"/>
    <w:basedOn w:val="17"/>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5">
    <w:name w:val="标题 4 字符"/>
    <w:basedOn w:val="17"/>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6">
    <w:name w:val="副标题 字符"/>
    <w:basedOn w:val="17"/>
    <w:link w:val="1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7">
    <w:name w:val="标题 字符"/>
    <w:basedOn w:val="17"/>
    <w:link w:val="13"/>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28">
    <w:name w:val="页脚 字符"/>
    <w:basedOn w:val="17"/>
    <w:link w:val="10"/>
    <w:qFormat/>
    <w:uiPriority w:val="99"/>
    <w:rPr>
      <w:rFonts w:eastAsiaTheme="minorHAnsi"/>
      <w:sz w:val="18"/>
      <w:szCs w:val="18"/>
      <w:lang w:eastAsia="en-US"/>
    </w:rPr>
  </w:style>
  <w:style w:type="character" w:customStyle="1" w:styleId="29">
    <w:name w:val="批注文字 字符"/>
    <w:basedOn w:val="17"/>
    <w:link w:val="8"/>
    <w:semiHidden/>
    <w:qFormat/>
    <w:uiPriority w:val="99"/>
    <w:rPr>
      <w:rFonts w:eastAsiaTheme="minorHAnsi"/>
      <w:sz w:val="22"/>
      <w:szCs w:val="22"/>
      <w:lang w:eastAsia="en-US"/>
    </w:rPr>
  </w:style>
  <w:style w:type="character" w:customStyle="1" w:styleId="30">
    <w:name w:val="批注主题 字符"/>
    <w:basedOn w:val="29"/>
    <w:link w:val="14"/>
    <w:semiHidden/>
    <w:qFormat/>
    <w:uiPriority w:val="99"/>
    <w:rPr>
      <w:rFonts w:eastAsiaTheme="minorHAnsi"/>
      <w:b/>
      <w:bCs/>
      <w:sz w:val="22"/>
      <w:szCs w:val="22"/>
      <w:lang w:eastAsia="en-US"/>
    </w:rPr>
  </w:style>
  <w:style w:type="character" w:customStyle="1" w:styleId="31">
    <w:name w:val="批注框文本 字符"/>
    <w:basedOn w:val="17"/>
    <w:link w:val="9"/>
    <w:semiHidden/>
    <w:qFormat/>
    <w:uiPriority w:val="99"/>
    <w:rPr>
      <w:rFonts w:eastAsiaTheme="minorHAns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6201</Words>
  <Characters>6883</Characters>
  <Lines>50</Lines>
  <Paragraphs>14</Paragraphs>
  <TotalTime>0</TotalTime>
  <ScaleCrop>false</ScaleCrop>
  <LinksUpToDate>false</LinksUpToDate>
  <CharactersWithSpaces>6891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2026-08-25T05:00:00Z</dcterms:created>
  <dc:creator>Administrator</dc:creator>
  <cp:lastModifiedBy>雨。</cp:lastModifiedBy>
  <dcterms:modified xsi:type="dcterms:W3CDTF">2026-08-29T13:05:57Z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3DC29B62929B425D9D6AD0161B07851A_13</vt:lpwstr>
  </property>
  <property fmtid="{D5CDD505-2E9C-101B-9397-08002B2CF9AE}" pid="4" name="KSOTemplateDocerSaveRecord">
    <vt:lpwstr>eyJoZGlkIjoiYTZjZThjMDFjYjU0NDRjYWE1YjFlZmFjNmU0NDBiYTgiLCJ1c2VySWQiOiI0NjExNzA3OTgifQ==</vt:lpwstr>
  </property>
</Properties>
</file>