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C6CB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宋体"/>
          <w:sz w:val="32"/>
          <w:szCs w:val="32"/>
        </w:rPr>
      </w:pPr>
    </w:p>
    <w:p w14:paraId="3BE6EEA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880" w:firstLineChars="200"/>
        <w:jc w:val="left"/>
        <w:textAlignment w:val="auto"/>
        <w:rPr>
          <w:rFonts w:ascii="Times New Roman" w:hAnsi="Times New Roman" w:eastAsia="宋体"/>
          <w:sz w:val="44"/>
          <w:szCs w:val="44"/>
        </w:rPr>
      </w:pPr>
    </w:p>
    <w:p w14:paraId="15E4A7E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880" w:firstLineChars="200"/>
        <w:jc w:val="left"/>
        <w:textAlignment w:val="auto"/>
        <w:rPr>
          <w:rFonts w:ascii="Times New Roman" w:hAnsi="Times New Roman" w:eastAsia="宋体"/>
          <w:sz w:val="44"/>
          <w:szCs w:val="44"/>
        </w:rPr>
      </w:pPr>
    </w:p>
    <w:p w14:paraId="72CCD6E5">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880" w:firstLineChars="200"/>
        <w:jc w:val="left"/>
        <w:textAlignment w:val="auto"/>
        <w:rPr>
          <w:rFonts w:ascii="Times New Roman" w:hAnsi="Times New Roman" w:eastAsia="宋体"/>
          <w:sz w:val="44"/>
          <w:szCs w:val="44"/>
        </w:rPr>
      </w:pPr>
    </w:p>
    <w:p w14:paraId="5DC0195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880" w:firstLineChars="200"/>
        <w:jc w:val="left"/>
        <w:textAlignment w:val="auto"/>
        <w:rPr>
          <w:rFonts w:ascii="Times New Roman" w:hAnsi="Times New Roman" w:eastAsia="宋体"/>
          <w:sz w:val="44"/>
          <w:szCs w:val="44"/>
        </w:rPr>
      </w:pPr>
    </w:p>
    <w:p w14:paraId="6F032EC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880" w:firstLineChars="200"/>
        <w:jc w:val="left"/>
        <w:textAlignment w:val="auto"/>
        <w:rPr>
          <w:rFonts w:ascii="Times New Roman" w:hAnsi="Times New Roman" w:eastAsia="宋体"/>
          <w:sz w:val="44"/>
          <w:szCs w:val="44"/>
        </w:rPr>
      </w:pPr>
    </w:p>
    <w:p w14:paraId="7A234869">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新疆维吾尔自治区人民政府国家三〇五项目办公室（</w:t>
      </w:r>
      <w:r>
        <w:rPr>
          <w:rFonts w:hint="eastAsia" w:ascii="方正小标宋_GBK" w:hAnsi="宋体" w:eastAsia="方正小标宋_GBK" w:cs="Times New Roman"/>
          <w:kern w:val="2"/>
          <w:sz w:val="44"/>
          <w:szCs w:val="44"/>
          <w:highlight w:val="none"/>
          <w:lang w:val="en-US" w:eastAsia="zh-CN"/>
        </w:rPr>
        <w:t>新疆维吾尔自治区自然资源与生态环境研究中心</w:t>
      </w:r>
      <w:r>
        <w:rPr>
          <w:rFonts w:hint="eastAsia" w:ascii="方正小标宋_GBK" w:hAnsi="宋体" w:eastAsia="方正小标宋_GBK" w:cs="Times New Roman"/>
          <w:kern w:val="2"/>
          <w:sz w:val="44"/>
          <w:szCs w:val="44"/>
          <w:highlight w:val="none"/>
          <w:lang w:eastAsia="zh-CN"/>
        </w:rPr>
        <w:t>）</w:t>
      </w:r>
    </w:p>
    <w:p w14:paraId="2D374F5D">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452DD961">
      <w:pPr>
        <w:keepNext w:val="0"/>
        <w:keepLines w:val="0"/>
        <w:pageBreakBefore w:val="0"/>
        <w:widowControl w:val="0"/>
        <w:kinsoku/>
        <w:wordWrap/>
        <w:overflowPunct/>
        <w:topLinePunct w:val="0"/>
        <w:autoSpaceDE/>
        <w:autoSpaceDN/>
        <w:bidi w:val="0"/>
        <w:adjustRightInd/>
        <w:snapToGrid/>
        <w:ind w:firstLine="0" w:firstLineChars="200"/>
        <w:textAlignment w:val="auto"/>
        <w:rPr>
          <w:rFonts w:ascii="Times New Roman" w:hAnsi="Times New Roman"/>
        </w:rPr>
      </w:pPr>
      <w:r>
        <w:rPr>
          <w:rFonts w:ascii="Times New Roman" w:hAnsi="Times New Roman"/>
          <w:b w:val="0"/>
          <w:sz w:val="0"/>
          <w:szCs w:val="0"/>
        </w:rPr>
        <w:br w:type="page"/>
      </w:r>
    </w:p>
    <w:p w14:paraId="6E2A455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center"/>
        <w:textAlignment w:val="auto"/>
        <w:rPr>
          <w:rFonts w:ascii="Times New Roman" w:hAnsi="Times New Roman" w:eastAsia="黑体"/>
          <w:sz w:val="32"/>
          <w:szCs w:val="32"/>
        </w:rPr>
      </w:pPr>
      <w:r>
        <w:rPr>
          <w:rFonts w:ascii="Times New Roman" w:hAnsi="Times New Roman" w:eastAsia="黑体"/>
          <w:b/>
          <w:sz w:val="32"/>
          <w:szCs w:val="32"/>
        </w:rPr>
        <w:t>目 录</w:t>
      </w:r>
    </w:p>
    <w:p w14:paraId="20228BE5">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第一部分单位概况</w:t>
      </w:r>
    </w:p>
    <w:p w14:paraId="01FF7951">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一、主要职能</w:t>
      </w:r>
    </w:p>
    <w:p w14:paraId="1E3BAC8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二、机构设置</w:t>
      </w:r>
    </w:p>
    <w:p w14:paraId="371002B5">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第二部分 部门决算情况说明</w:t>
      </w:r>
    </w:p>
    <w:p w14:paraId="18D57810">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一、收入支出决算总体情况说明</w:t>
      </w:r>
    </w:p>
    <w:p w14:paraId="65D96C94">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二、收入决算情况说明</w:t>
      </w:r>
    </w:p>
    <w:p w14:paraId="52D25A8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三、支出决算情况说明</w:t>
      </w:r>
    </w:p>
    <w:p w14:paraId="602C3F98">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四、财政拨款收入支出决算总体情况说明</w:t>
      </w:r>
    </w:p>
    <w:p w14:paraId="52F4C410">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五、一般公共预算财政拨款支出决算情况说明</w:t>
      </w:r>
    </w:p>
    <w:p w14:paraId="5690AA3E">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（一）一般公共预算财政拨款支出决算总体情况</w:t>
      </w:r>
    </w:p>
    <w:p w14:paraId="65C1C162">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（二）一般公共预算财政拨款支出决算结构情况</w:t>
      </w:r>
    </w:p>
    <w:p w14:paraId="0B8EB52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（三）一般公共预算财政拨款支出决算具体情况</w:t>
      </w:r>
    </w:p>
    <w:p w14:paraId="238C2449">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六、一般公共预算财政拨款基本支出决算情况说明</w:t>
      </w:r>
    </w:p>
    <w:p w14:paraId="1F29EDA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七、政府性基金预算财政拨款收入支出决算情况说明</w:t>
      </w:r>
    </w:p>
    <w:p w14:paraId="6945D0BD">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八、国有资本经营预算财政拨款收入支出决算情况说明</w:t>
      </w:r>
    </w:p>
    <w:p w14:paraId="737FA07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九、财政拨款“三公”经费支出决算情况说明</w:t>
      </w:r>
    </w:p>
    <w:p w14:paraId="3A4BDB7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十、其他重要事项的情况说明</w:t>
      </w:r>
    </w:p>
    <w:p w14:paraId="14E58503">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（一）机关运行经费及公用经费支出情况</w:t>
      </w:r>
    </w:p>
    <w:p w14:paraId="13CF753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（二）政府采购情况</w:t>
      </w:r>
    </w:p>
    <w:p w14:paraId="1835EE7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（三）国有资产占用情况说明</w:t>
      </w:r>
    </w:p>
    <w:p w14:paraId="56770AA4">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十一、预算绩效的情况说明</w:t>
      </w:r>
    </w:p>
    <w:p w14:paraId="690B0258">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十二、其他需说明的事项</w:t>
      </w:r>
    </w:p>
    <w:p w14:paraId="4DC288E8">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第三部分 专业名词解释</w:t>
      </w:r>
    </w:p>
    <w:p w14:paraId="6D7C0EE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第四部分 部门决算报表（见附表）</w:t>
      </w:r>
    </w:p>
    <w:p w14:paraId="2172EE83">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一、《收入支出决算总表》</w:t>
      </w:r>
    </w:p>
    <w:p w14:paraId="4D32D9E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二、《收入决算表》</w:t>
      </w:r>
    </w:p>
    <w:p w14:paraId="5912695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三、《支出决算表》</w:t>
      </w:r>
    </w:p>
    <w:p w14:paraId="149336E3">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14:paraId="391605E5">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14:paraId="688A4D39">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14:paraId="59A03028">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14:paraId="730A0E5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14:paraId="5C1E10B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p w14:paraId="435C2889">
      <w:pPr>
        <w:keepNext w:val="0"/>
        <w:keepLines w:val="0"/>
        <w:pageBreakBefore w:val="0"/>
        <w:widowControl w:val="0"/>
        <w:kinsoku/>
        <w:wordWrap/>
        <w:overflowPunct/>
        <w:topLinePunct w:val="0"/>
        <w:autoSpaceDE/>
        <w:autoSpaceDN/>
        <w:bidi w:val="0"/>
        <w:adjustRightInd/>
        <w:snapToGrid/>
        <w:ind w:firstLine="0" w:firstLineChars="200"/>
        <w:textAlignment w:val="auto"/>
        <w:rPr>
          <w:rFonts w:ascii="Times New Roman" w:hAnsi="Times New Roman"/>
        </w:rPr>
      </w:pPr>
      <w:r>
        <w:rPr>
          <w:rFonts w:ascii="Times New Roman" w:hAnsi="Times New Roman"/>
          <w:b w:val="0"/>
          <w:sz w:val="0"/>
          <w:szCs w:val="0"/>
        </w:rPr>
        <w:br w:type="page"/>
      </w:r>
    </w:p>
    <w:p w14:paraId="1CD7F54F">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center"/>
        <w:textAlignment w:val="auto"/>
        <w:outlineLvl w:val="0"/>
        <w:rPr>
          <w:rFonts w:ascii="Times New Roman" w:hAnsi="Times New Roman" w:eastAsia="黑体"/>
          <w:sz w:val="32"/>
          <w:szCs w:val="32"/>
        </w:rPr>
      </w:pPr>
      <w:r>
        <w:rPr>
          <w:rFonts w:ascii="Times New Roman" w:hAnsi="Times New Roman" w:eastAsia="黑体"/>
          <w:b w:val="0"/>
          <w:sz w:val="32"/>
          <w:szCs w:val="32"/>
        </w:rPr>
        <w:t>第一部分单位概况</w:t>
      </w:r>
    </w:p>
    <w:p w14:paraId="72F648B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一、主要职能</w:t>
      </w:r>
    </w:p>
    <w:p w14:paraId="412D7B1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lang w:val="en-US" w:eastAsia="zh-CN"/>
        </w:rPr>
        <w:t>新疆维吾尔自治区人民政府国家三〇五项目办公室（新疆维吾尔自治区自然资源与生态环境研究中心）主要职责是负责国家和自治区矿产资源领域重大科技项目的筹划、论证、日常管理和组织协调，聚焦新疆及中亚地质矿产基础理论研究和关键科学技术问题，开展产学研协同创新，引智聚才，发挥高端智库作用，服务自治区绿色矿业产业集群建设，深化丝绸之路经济带沿线国家矿产资源科技合作，提升国家资源安全保障能力。</w:t>
      </w:r>
    </w:p>
    <w:p w14:paraId="4480C62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b w:val="0"/>
          <w:sz w:val="32"/>
          <w:szCs w:val="32"/>
        </w:rPr>
      </w:pPr>
      <w:r>
        <w:rPr>
          <w:rFonts w:ascii="Times New Roman" w:hAnsi="Times New Roman" w:eastAsia="黑体"/>
          <w:b w:val="0"/>
          <w:sz w:val="32"/>
          <w:szCs w:val="32"/>
        </w:rPr>
        <w:t>二、机构设置</w:t>
      </w:r>
    </w:p>
    <w:p w14:paraId="2CAE18AF">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lang w:eastAsia="zh-CN"/>
        </w:rPr>
      </w:pPr>
      <w:r>
        <w:rPr>
          <w:rFonts w:ascii="仿宋_GB2312" w:eastAsia="仿宋_GB2312"/>
          <w:b w:val="0"/>
          <w:sz w:val="32"/>
          <w:szCs w:val="32"/>
        </w:rPr>
        <w:t>新疆维吾尔自治区人民政府国家三〇五项目办公室</w:t>
      </w:r>
      <w:r>
        <w:rPr>
          <w:rFonts w:hint="eastAsia" w:ascii="仿宋_GB2312" w:eastAsia="仿宋_GB2312"/>
          <w:b w:val="0"/>
          <w:sz w:val="32"/>
          <w:szCs w:val="32"/>
          <w:lang w:val="en-US" w:eastAsia="zh-CN"/>
        </w:rPr>
        <w:t>（新疆维吾尔自治区自然资源与生态环境研究中心）</w:t>
      </w:r>
      <w:r>
        <w:rPr>
          <w:rFonts w:ascii="仿宋_GB2312" w:eastAsia="仿宋_GB2312"/>
          <w:b w:val="0"/>
          <w:sz w:val="32"/>
          <w:szCs w:val="32"/>
        </w:rPr>
        <w:t>无下属预算单位</w:t>
      </w:r>
      <w:r>
        <w:rPr>
          <w:rFonts w:hint="eastAsia" w:ascii="仿宋_GB2312" w:eastAsia="仿宋_GB2312"/>
          <w:b w:val="0"/>
          <w:sz w:val="32"/>
          <w:szCs w:val="32"/>
          <w:lang w:eastAsia="zh-CN"/>
        </w:rPr>
        <w:t>。</w:t>
      </w:r>
    </w:p>
    <w:p w14:paraId="41BEFA3B">
      <w:pPr>
        <w:bidi w:val="0"/>
      </w:pPr>
    </w:p>
    <w:p w14:paraId="27DEF708">
      <w:pPr>
        <w:bidi w:val="0"/>
      </w:pPr>
    </w:p>
    <w:p w14:paraId="26747A8D">
      <w:pPr>
        <w:bidi w:val="0"/>
      </w:pPr>
    </w:p>
    <w:p w14:paraId="3E39351C">
      <w:pPr>
        <w:bidi w:val="0"/>
      </w:pPr>
    </w:p>
    <w:p w14:paraId="7194E3C2">
      <w:pPr>
        <w:bidi w:val="0"/>
      </w:pPr>
    </w:p>
    <w:p w14:paraId="48534DFD">
      <w:pPr>
        <w:bidi w:val="0"/>
      </w:pPr>
    </w:p>
    <w:p w14:paraId="73A6EED9">
      <w:pPr>
        <w:bidi w:val="0"/>
      </w:pPr>
    </w:p>
    <w:p w14:paraId="12DA5FAF">
      <w:pPr>
        <w:bidi w:val="0"/>
      </w:pPr>
    </w:p>
    <w:p w14:paraId="69D9B513">
      <w:pPr>
        <w:bidi w:val="0"/>
      </w:pPr>
    </w:p>
    <w:p w14:paraId="2B1A8772">
      <w:pPr>
        <w:bidi w:val="0"/>
      </w:pPr>
    </w:p>
    <w:p w14:paraId="50DF43C6">
      <w:pPr>
        <w:bidi w:val="0"/>
      </w:pPr>
    </w:p>
    <w:p w14:paraId="2D454A5B">
      <w:pPr>
        <w:bidi w:val="0"/>
      </w:pPr>
    </w:p>
    <w:p w14:paraId="39A00891">
      <w:pPr>
        <w:bidi w:val="0"/>
      </w:pPr>
    </w:p>
    <w:p w14:paraId="41193DCD">
      <w:pPr>
        <w:bidi w:val="0"/>
      </w:pPr>
    </w:p>
    <w:p w14:paraId="1D5B2420">
      <w:pPr>
        <w:bidi w:val="0"/>
      </w:pPr>
    </w:p>
    <w:p w14:paraId="76FD4D3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center"/>
        <w:textAlignment w:val="auto"/>
        <w:outlineLvl w:val="0"/>
        <w:rPr>
          <w:rFonts w:ascii="Times New Roman" w:hAnsi="Times New Roman" w:eastAsia="黑体"/>
          <w:sz w:val="32"/>
          <w:szCs w:val="32"/>
        </w:rPr>
      </w:pPr>
      <w:r>
        <w:rPr>
          <w:rFonts w:ascii="Times New Roman" w:hAnsi="Times New Roman" w:eastAsia="黑体"/>
          <w:b w:val="0"/>
          <w:sz w:val="32"/>
          <w:szCs w:val="32"/>
        </w:rPr>
        <w:t>第二部分 部门决算情况说明</w:t>
      </w:r>
    </w:p>
    <w:p w14:paraId="22AB63A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b w:val="0"/>
          <w:color w:val="auto"/>
          <w:sz w:val="32"/>
          <w:szCs w:val="32"/>
        </w:rPr>
      </w:pPr>
      <w:r>
        <w:rPr>
          <w:rFonts w:ascii="Times New Roman" w:hAnsi="Times New Roman" w:eastAsia="黑体"/>
          <w:b w:val="0"/>
          <w:color w:val="auto"/>
          <w:sz w:val="32"/>
          <w:szCs w:val="32"/>
        </w:rPr>
        <w:t>一、收入支出决算总体情况说明</w:t>
      </w:r>
    </w:p>
    <w:p w14:paraId="5E6C77D0">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仿宋_GB2312" w:eastAsia="仿宋_GB2312"/>
          <w:sz w:val="32"/>
          <w:szCs w:val="32"/>
        </w:rPr>
      </w:pPr>
      <w:r>
        <w:rPr>
          <w:rFonts w:ascii="仿宋_GB2312" w:eastAsia="仿宋_GB2312"/>
          <w:sz w:val="32"/>
          <w:szCs w:val="32"/>
        </w:rPr>
        <w:t>2025年度收入总计10,333.64万元，其中：本年收入合计8,244.23万元，使用非财政拨款结余（含专用结余）0.00万元，年初结转和结余2,089.41万元。</w:t>
      </w:r>
    </w:p>
    <w:p w14:paraId="1755D4D6">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仿宋_GB2312" w:eastAsia="仿宋_GB2312"/>
          <w:sz w:val="32"/>
          <w:szCs w:val="32"/>
        </w:rPr>
      </w:pPr>
      <w:r>
        <w:rPr>
          <w:rFonts w:ascii="仿宋_GB2312" w:eastAsia="仿宋_GB2312"/>
          <w:sz w:val="32"/>
          <w:szCs w:val="32"/>
        </w:rPr>
        <w:t>2025年度支出总计10,333.64万元，其中：本年支出合计9,023.27万元，结余分配0.00万元，年末结转和结余1,310.38万元。</w:t>
      </w:r>
    </w:p>
    <w:p w14:paraId="01F89BFC">
      <w:pPr>
        <w:spacing w:after="0" w:line="240" w:lineRule="auto"/>
        <w:ind w:firstLine="640" w:firstLineChars="200"/>
        <w:jc w:val="both"/>
        <w:rPr>
          <w:rFonts w:ascii="仿宋_GB2312" w:eastAsia="仿宋_GB2312"/>
          <w:sz w:val="32"/>
          <w:szCs w:val="32"/>
        </w:rPr>
      </w:pPr>
      <w:r>
        <w:rPr>
          <w:rFonts w:ascii="仿宋_GB2312" w:eastAsia="仿宋_GB2312"/>
          <w:sz w:val="32"/>
          <w:szCs w:val="32"/>
        </w:rPr>
        <w:t>收入支出总体与上年相比，增加2,444.23万元，增长30.98%，主要原因是：</w:t>
      </w:r>
      <w:r>
        <w:rPr>
          <w:rFonts w:hint="eastAsia" w:ascii="仿宋_GB2312" w:eastAsia="仿宋_GB2312"/>
          <w:sz w:val="32"/>
          <w:szCs w:val="32"/>
          <w:lang w:val="en-US" w:eastAsia="zh-CN"/>
        </w:rPr>
        <w:t>较上年增加昆仑-阿尔金锰铁区域成矿规律与智能找矿预测项目、阿尔金超大型锂铍等战略性矿床成因及深切割地形快速评价技术研究项目、新疆天山及邻区早二叠世金镍重大成矿事件与找矿评价关键技术项目、南疆阿图什-和田重点区域地壳稳定性评价与地应力监测研究项目。</w:t>
      </w:r>
    </w:p>
    <w:p w14:paraId="23B6E8F2">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二、收入决算情况说明</w:t>
      </w:r>
    </w:p>
    <w:p w14:paraId="1E1791C9">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b w:val="0"/>
          <w:sz w:val="32"/>
          <w:szCs w:val="32"/>
          <w:lang w:val="en-US" w:eastAsia="zh-CN"/>
        </w:rPr>
        <w:t>本年收入8,244.23万元，其中：财政拨款收入739.74万元</w:t>
      </w:r>
      <w:r>
        <w:rPr>
          <w:rFonts w:hint="eastAsia" w:ascii="仿宋_GB2312" w:eastAsia="仿宋_GB2312"/>
          <w:sz w:val="32"/>
          <w:szCs w:val="32"/>
          <w:lang w:val="en-US" w:eastAsia="zh-CN"/>
        </w:rPr>
        <w:t>,占8.97%；上级补助收入0.00万元,占0.00%；事业收入0.00万元，占0.00%；经营收入0.00万元,占0.00%；附属单位上缴收入0.00万元，占0.00%；其他收入7,504.49万元，占91.03%。</w:t>
      </w:r>
    </w:p>
    <w:p w14:paraId="2E95C14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三、支出决算情况说明</w:t>
      </w:r>
    </w:p>
    <w:p w14:paraId="7F5AE8FF">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本年支出9,023.27万元，其中：基本支出562.79万元，占6.24%；项目支出8,460.47万元，占93.76%；上缴上级支出0.00万元，占0.00%；经营支出0.00万元，占0.00%；对附属单位补助支出0.00万元，占0.00%。</w:t>
      </w:r>
    </w:p>
    <w:p w14:paraId="6D8BE870">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四、财政拨款收入支出决算总体情况说明</w:t>
      </w:r>
    </w:p>
    <w:p w14:paraId="1BC93A17">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2025年度财政拨款收入总计739.74万元，其中：年初财政拨款结转和结余0.00万元，本年财政拨款收入739.74万元。财政拨款支出总计739.74万元，其中：年末财政拨款结转和结余0.00万元，本年财政拨款支出739.74万元。</w:t>
      </w:r>
    </w:p>
    <w:p w14:paraId="38C923DC">
      <w:pPr>
        <w:spacing w:after="0" w:line="240" w:lineRule="auto"/>
        <w:ind w:firstLine="640" w:firstLineChars="200"/>
        <w:jc w:val="both"/>
        <w:rPr>
          <w:rFonts w:hint="eastAsia" w:ascii="仿宋_GB2312" w:eastAsia="仿宋_GB2312"/>
          <w:b w:val="0"/>
          <w:sz w:val="32"/>
          <w:szCs w:val="32"/>
          <w:lang w:val="en-US" w:eastAsia="zh-CN"/>
        </w:rPr>
      </w:pPr>
      <w:r>
        <w:rPr>
          <w:rFonts w:hint="eastAsia" w:ascii="仿宋_GB2312" w:eastAsia="仿宋_GB2312"/>
          <w:sz w:val="32"/>
          <w:szCs w:val="32"/>
          <w:lang w:val="en-US" w:eastAsia="zh-CN"/>
        </w:rPr>
        <w:t>财政拨款收入支出总体与上年相比，增加72.52万元，增长10.87%，主要原因是：在职人员工资调增、社保、公积金基数调增，人员经费增加；新疆人才发展基金2025年度第一、二轮支持资金—天池英才引进计划项目经费增加。与年初预算相比，年初预算数485.17万元，决算数739.74万元，预决算差异率52.47%，主要原因是：年中追加人员经费及人员工资、社保、公积金基数调增部分资金，导致预决算存在差异；年中追加民族团结一家亲结对认亲交通费、新疆人才发展基金2025年度第一、二轮支持资金—天池英才引进计划项目经费，导致预决算存在差异。</w:t>
      </w:r>
    </w:p>
    <w:p w14:paraId="4D9C8840">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color w:val="auto"/>
          <w:sz w:val="32"/>
          <w:szCs w:val="32"/>
        </w:rPr>
      </w:pPr>
      <w:r>
        <w:rPr>
          <w:rFonts w:ascii="Times New Roman" w:hAnsi="Times New Roman" w:eastAsia="黑体"/>
          <w:b w:val="0"/>
          <w:color w:val="auto"/>
          <w:sz w:val="32"/>
          <w:szCs w:val="32"/>
        </w:rPr>
        <w:t>五、一般公共预算财政拨款支出决算情况说明</w:t>
      </w:r>
    </w:p>
    <w:p w14:paraId="04BF96AD">
      <w:pPr>
        <w:spacing w:after="0" w:line="240" w:lineRule="auto"/>
        <w:ind w:firstLine="640" w:firstLineChars="200"/>
        <w:rPr>
          <w:rFonts w:ascii="仿宋_GB2312" w:eastAsia="仿宋_GB2312"/>
          <w:b w:val="0"/>
          <w:sz w:val="32"/>
          <w:szCs w:val="32"/>
        </w:rPr>
      </w:pPr>
      <w:r>
        <w:rPr>
          <w:rFonts w:hint="eastAsia" w:ascii="仿宋_GB2312" w:eastAsia="仿宋_GB2312"/>
          <w:sz w:val="32"/>
          <w:szCs w:val="32"/>
          <w:lang w:val="en-US" w:eastAsia="zh-CN"/>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机构运行、民生保障</w:t>
      </w:r>
      <w:r>
        <w:rPr>
          <w:rFonts w:ascii="仿宋_GB2312" w:eastAsia="仿宋_GB2312"/>
          <w:b w:val="0"/>
          <w:sz w:val="32"/>
          <w:szCs w:val="32"/>
        </w:rPr>
        <w:t>等重点支出，体现在有关支出科目中。</w:t>
      </w:r>
    </w:p>
    <w:p w14:paraId="158E8620">
      <w:pPr>
        <w:spacing w:after="0" w:line="24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按照支出功能分类，科学技术支出（类）科技条件与服务（款）机构运行（项）的支出占本年财政拨款支出总额的比重最高，2025年度决算数为531.09万元，占比71.79%，主要用于人员工资福利、日常公用经费</w:t>
      </w:r>
      <w:r>
        <w:rPr>
          <w:rFonts w:ascii="仿宋_GB2312" w:eastAsia="仿宋_GB2312"/>
          <w:sz w:val="32"/>
          <w:szCs w:val="32"/>
        </w:rPr>
        <w:t>。</w:t>
      </w:r>
    </w:p>
    <w:p w14:paraId="51E11C3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outlineLvl w:val="2"/>
        <w:rPr>
          <w:rFonts w:ascii="Times New Roman" w:hAnsi="Times New Roman" w:eastAsia="黑体"/>
          <w:color w:val="auto"/>
          <w:sz w:val="32"/>
          <w:szCs w:val="32"/>
          <w:highlight w:val="none"/>
        </w:rPr>
      </w:pPr>
      <w:r>
        <w:rPr>
          <w:rFonts w:ascii="Times New Roman" w:hAnsi="Times New Roman" w:eastAsia="黑体"/>
          <w:b w:val="0"/>
          <w:color w:val="auto"/>
          <w:sz w:val="32"/>
          <w:szCs w:val="32"/>
          <w:highlight w:val="none"/>
        </w:rPr>
        <w:t>（一）一般公共预算财政拨款支出决算总体情况</w:t>
      </w:r>
    </w:p>
    <w:p w14:paraId="1290474F">
      <w:pPr>
        <w:spacing w:after="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2025年度一般公共预算财政拨款支出739.74万元，占本年支出合计的8.20%。与上年相比，增加72.52万元，增长10.87%，主要原因是：在职人员工资调增、社保、公积金基数调增，人员经费增加。与年初预算相比，年初预算数485.17万元，决算数739.74万元，预决算差异率52.47%，主要原因是：</w:t>
      </w:r>
      <w:r>
        <w:rPr>
          <w:rFonts w:hint="eastAsia" w:ascii="仿宋_GB2312" w:eastAsia="仿宋_GB2312"/>
          <w:sz w:val="32"/>
          <w:szCs w:val="32"/>
          <w:lang w:val="en-US" w:eastAsia="en-US"/>
        </w:rPr>
        <w:t>年中追加人员经费及人员工资、社保、公积金基数调增部分资金，导致预决算存在差异</w:t>
      </w:r>
      <w:r>
        <w:rPr>
          <w:rFonts w:hint="eastAsia" w:ascii="仿宋_GB2312" w:eastAsia="仿宋_GB2312"/>
          <w:sz w:val="32"/>
          <w:szCs w:val="32"/>
          <w:lang w:val="en-US" w:eastAsia="zh-CN"/>
        </w:rPr>
        <w:t>；年中追加民族团结一家亲结对认亲交通费、新疆人才发展基金2025年度第一、二轮支持资金—天池英才引进计划项目经费，</w:t>
      </w:r>
      <w:r>
        <w:rPr>
          <w:rFonts w:hint="eastAsia" w:ascii="仿宋_GB2312" w:eastAsia="仿宋_GB2312"/>
          <w:sz w:val="32"/>
          <w:szCs w:val="32"/>
          <w:lang w:val="en-US" w:eastAsia="en-US"/>
        </w:rPr>
        <w:t>导致预决算存在差异</w:t>
      </w:r>
      <w:r>
        <w:rPr>
          <w:rFonts w:hint="eastAsia" w:ascii="仿宋_GB2312" w:eastAsia="仿宋_GB2312"/>
          <w:sz w:val="32"/>
          <w:szCs w:val="32"/>
          <w:lang w:val="en-US" w:eastAsia="zh-CN"/>
        </w:rPr>
        <w:t>。</w:t>
      </w:r>
    </w:p>
    <w:p w14:paraId="51F4D665">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ascii="Times New Roman" w:hAnsi="Times New Roman" w:eastAsia="黑体"/>
          <w:color w:val="auto"/>
          <w:sz w:val="32"/>
          <w:szCs w:val="32"/>
        </w:rPr>
      </w:pPr>
      <w:r>
        <w:rPr>
          <w:rFonts w:ascii="Times New Roman" w:hAnsi="Times New Roman" w:eastAsia="黑体"/>
          <w:b w:val="0"/>
          <w:color w:val="auto"/>
          <w:sz w:val="32"/>
          <w:szCs w:val="32"/>
        </w:rPr>
        <w:t>（二）一般公共预算财政拨款支出决算结构情况</w:t>
      </w:r>
    </w:p>
    <w:p w14:paraId="1F016063">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1.科学技术支出（类）556.05万元，占75.17%。</w:t>
      </w:r>
    </w:p>
    <w:p w14:paraId="591AEE69">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2.社会保障和就业支出（类）179.52万元，占24.27%。</w:t>
      </w:r>
    </w:p>
    <w:p w14:paraId="64A57012">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3.卫生健康支出（类）2.28万元，占0.31%。</w:t>
      </w:r>
    </w:p>
    <w:p w14:paraId="772AC9FC">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ascii="仿宋_GB2312" w:eastAsia="仿宋_GB2312"/>
          <w:sz w:val="32"/>
          <w:szCs w:val="32"/>
        </w:rPr>
      </w:pPr>
      <w:r>
        <w:rPr>
          <w:rFonts w:hint="eastAsia" w:ascii="仿宋_GB2312" w:eastAsia="仿宋_GB2312"/>
          <w:sz w:val="32"/>
          <w:szCs w:val="32"/>
          <w:lang w:val="en-US" w:eastAsia="zh-CN"/>
        </w:rPr>
        <w:t>4.住房保障支出（类）1.89万元，占0.26%。</w:t>
      </w:r>
    </w:p>
    <w:p w14:paraId="7F6D75A9">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ascii="Times New Roman" w:hAnsi="Times New Roman" w:eastAsia="黑体"/>
          <w:sz w:val="32"/>
          <w:szCs w:val="32"/>
        </w:rPr>
      </w:pPr>
      <w:r>
        <w:rPr>
          <w:rFonts w:ascii="Times New Roman" w:hAnsi="Times New Roman" w:eastAsia="黑体"/>
          <w:b w:val="0"/>
          <w:sz w:val="32"/>
          <w:szCs w:val="32"/>
        </w:rPr>
        <w:t>（三）一般公共预算财政拨款支出决算具体情况</w:t>
      </w:r>
    </w:p>
    <w:p w14:paraId="0AB3FCE9">
      <w:pPr>
        <w:spacing w:after="0" w:line="24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1.科学技术支出（类）应用研究（款）机构运行（项）：支出决算数为24.96万元，比上年决算增加24.96万元，增长100.00%，主要原因是：较上年增加做实职业年金部分。</w:t>
      </w:r>
    </w:p>
    <w:p w14:paraId="6E560642">
      <w:pPr>
        <w:spacing w:after="0" w:line="24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2.科学技术支出（类）科技条件与服务（款）机构运行（项）：支出决算数为531.09万元，比上年决算增加28.87万元，增长5.75%，主要原因是：在职人员工资调增，人员经费增加。</w:t>
      </w:r>
    </w:p>
    <w:p w14:paraId="2EBAFFBF">
      <w:pPr>
        <w:spacing w:after="0" w:line="24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社会保障和就业支出（类）人力资源和社会保障管理事务（款）其他人力资源和社会保障管理事务支出（项）：支出决算数为177.00万元，比上年决算增加12.00万元，增长7.27%，主要原因是：较上年增加新疆人才发展基金2025年度第一、二轮支持资金—天池英才引进计划项目。</w:t>
      </w:r>
    </w:p>
    <w:p w14:paraId="0F5FB595">
      <w:pPr>
        <w:spacing w:after="0" w:line="24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4.社会保障和就业支出（类）行政事业单位养老支出（款）机关事业单位基本养老保险缴费支出（项）：支出决算数为2.52万元，比上年决算增加2.52万元，增长100.00%，主要原因是：本年功能调整，</w:t>
      </w:r>
      <w:r>
        <w:rPr>
          <w:rFonts w:ascii="仿宋_GB2312" w:eastAsia="仿宋_GB2312"/>
          <w:sz w:val="32"/>
          <w:szCs w:val="32"/>
        </w:rPr>
        <w:t>机关事业单位基本养老保险缴费</w:t>
      </w:r>
      <w:r>
        <w:rPr>
          <w:rFonts w:hint="eastAsia" w:ascii="仿宋_GB2312" w:eastAsia="仿宋_GB2312"/>
          <w:sz w:val="32"/>
          <w:szCs w:val="32"/>
          <w:lang w:val="en-US" w:eastAsia="zh-CN"/>
        </w:rPr>
        <w:t>上年度在主科目列支，本年单独列支，导致经费较上年增加。</w:t>
      </w:r>
    </w:p>
    <w:p w14:paraId="352BB28F">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sz w:val="32"/>
          <w:szCs w:val="32"/>
          <w:highlight w:val="none"/>
          <w:lang w:val="en-US" w:eastAsia="zh-CN"/>
        </w:rPr>
        <w:t>5.卫生健康支出（类）行政事业单位医疗（款）事业单</w:t>
      </w:r>
      <w:r>
        <w:rPr>
          <w:rFonts w:hint="eastAsia" w:ascii="仿宋_GB2312" w:eastAsia="仿宋_GB2312"/>
          <w:color w:val="auto"/>
          <w:sz w:val="32"/>
          <w:szCs w:val="32"/>
          <w:highlight w:val="none"/>
          <w:lang w:val="en-US" w:eastAsia="zh-CN"/>
        </w:rPr>
        <w:t>位医疗</w:t>
      </w:r>
      <w:r>
        <w:rPr>
          <w:rFonts w:hint="eastAsia" w:ascii="仿宋_GB2312" w:eastAsia="仿宋_GB2312"/>
          <w:color w:val="auto"/>
          <w:sz w:val="32"/>
          <w:szCs w:val="32"/>
          <w:lang w:val="en-US" w:eastAsia="zh-CN"/>
        </w:rPr>
        <w:t>（项）：支出决算数为1.18万元，比上年决算增加1.18万元，增长100.00%，主要原因是：本年功能调整，职工基本医疗保险缴费上年度在主科目列支，本年单独列支，导致经费较上年增加。</w:t>
      </w:r>
    </w:p>
    <w:p w14:paraId="0693E6D9">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lang w:val="en-US" w:eastAsia="zh-CN"/>
        </w:rPr>
        <w:t>6.卫生健康支出（类）行政事业单位医疗（款）公务员医疗补助（项）：支出决算数为1.10万元，比上年决算增加1.10万元，增长100.00%，主要原因是：本年功能调整，公务员医疗补助缴费上年度在主科目列支，本年单独列支，导致经费较上年增加</w:t>
      </w:r>
      <w:r>
        <w:rPr>
          <w:rFonts w:ascii="仿宋_GB2312" w:eastAsia="仿宋_GB2312"/>
          <w:color w:val="auto"/>
          <w:sz w:val="32"/>
          <w:szCs w:val="32"/>
        </w:rPr>
        <w:t>。</w:t>
      </w:r>
    </w:p>
    <w:p w14:paraId="35955C7B">
      <w:pPr>
        <w:spacing w:after="0" w:line="24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7.住房保障支出（类）住房改革支出（款）住房公积金（项）：支出决算数为1.89万元，比上年决算增加1.89万元，增长100.00%，主要原因是：本年功能调整，住房公积金缴费上年度在主科目列支，本年单独列支，导致经费较上年增加</w:t>
      </w:r>
      <w:r>
        <w:rPr>
          <w:rFonts w:ascii="仿宋_GB2312" w:eastAsia="仿宋_GB2312"/>
          <w:sz w:val="32"/>
          <w:szCs w:val="32"/>
        </w:rPr>
        <w:t>。</w:t>
      </w:r>
    </w:p>
    <w:p w14:paraId="524D612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六、一般公共预算财政拨款基本支出决算情况说明</w:t>
      </w:r>
    </w:p>
    <w:p w14:paraId="1BD0F99E">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2025年度一般公共预算财政拨款基本支出562.74万元，其中：人员经费528.24万元，包括：基本工资、津贴补贴、奖金、绩效工资、机关事业单位基本养老保险缴费、职业年金缴费、职工基本医疗保险缴费、公务员医疗补助缴费、其他社会保障缴费、住房公积金、退休费和其他对个人和家庭的补助。</w:t>
      </w:r>
    </w:p>
    <w:p w14:paraId="7282908B">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公用经费34.50万元，包括：办公费、印刷费、手续费、电费、邮电费、取暖费、物业管理费、差旅费、培训费、工会经费和福利费。</w:t>
      </w:r>
    </w:p>
    <w:p w14:paraId="50EA191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七、政府性基金预算财政拨款收入支出决算情况说明</w:t>
      </w:r>
    </w:p>
    <w:p w14:paraId="01FA9AFD">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hint="eastAsia" w:ascii="仿宋_GB2312" w:eastAsia="仿宋_GB2312"/>
          <w:b w:val="0"/>
          <w:sz w:val="32"/>
          <w:szCs w:val="32"/>
          <w:lang w:val="en-US" w:eastAsia="zh-CN"/>
        </w:rPr>
        <w:t>本单位本年度无政府性基金预算财政拨款收入、支出及结转和结余，政府性基金预算财政拨款收入支出决算表为空表。</w:t>
      </w:r>
    </w:p>
    <w:p w14:paraId="7BEC874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八、国有资本经营预算财政拨款收入支出决算情况说明</w:t>
      </w:r>
    </w:p>
    <w:p w14:paraId="30CC5009">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本单位本年度无国有资本经营预算财政拨款收入、支出及结转和结余，国有资本经营预算财政拨款收入支出决算表为空表。</w:t>
      </w:r>
    </w:p>
    <w:p w14:paraId="6FF54EB4">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九、财政拨款“三公”经费支出决算情况说明</w:t>
      </w:r>
    </w:p>
    <w:p w14:paraId="6507332F">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2025年度财政拨款“三公”经费支出0.00万元，与上年相比无变化，主要原因是：本单位</w:t>
      </w:r>
      <w:r>
        <w:rPr>
          <w:rFonts w:hint="default" w:ascii="仿宋_GB2312" w:eastAsia="仿宋_GB2312"/>
          <w:sz w:val="32"/>
          <w:szCs w:val="32"/>
          <w:lang w:val="en-US" w:eastAsia="zh-CN"/>
        </w:rPr>
        <w:t>202</w:t>
      </w:r>
      <w:r>
        <w:rPr>
          <w:rFonts w:hint="eastAsia" w:ascii="仿宋_GB2312" w:eastAsia="仿宋_GB2312"/>
          <w:sz w:val="32"/>
          <w:szCs w:val="32"/>
          <w:lang w:val="en-US" w:eastAsia="zh-CN"/>
        </w:rPr>
        <w:t>4年度与2025年度均未安排财政拨款“三公”经费支出</w:t>
      </w:r>
      <w:r>
        <w:rPr>
          <w:rFonts w:hint="eastAsia" w:ascii="仿宋_GB2312" w:eastAsia="仿宋_GB2312"/>
          <w:sz w:val="32"/>
          <w:szCs w:val="32"/>
          <w:lang w:val="zh-CN" w:eastAsia="zh-CN"/>
        </w:rPr>
        <w:t>。</w:t>
      </w:r>
      <w:r>
        <w:rPr>
          <w:rFonts w:hint="eastAsia" w:ascii="仿宋_GB2312" w:eastAsia="仿宋_GB2312"/>
          <w:sz w:val="32"/>
          <w:szCs w:val="32"/>
          <w:lang w:val="en-US" w:eastAsia="zh-CN"/>
        </w:rPr>
        <w:t>其中：因公出国（境）费用支出0.00万元,占0.00%，与上年相比无变化，主要原因是：本单位2024年度与2025年度均未安排因公出国（境）费；公务用车购置及运行维护费支出0.00万元，占0.00%，与上年相比无变化，主要原因是：本单位2024年度与2025年度均未安排公务用车运行费；公务接待费支出0.00万元，占0.00%，与上年相比无变化，主要原因是：本单位2024年度与2025年度均未安排公务接待费。</w:t>
      </w:r>
    </w:p>
    <w:p w14:paraId="60055709">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具体情况如下：</w:t>
      </w:r>
    </w:p>
    <w:p w14:paraId="40F0F791">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因公出国（境）费用0.00万元，开支内容包括本单位无</w:t>
      </w:r>
      <w:r>
        <w:rPr>
          <w:rFonts w:ascii="仿宋_GB2312" w:eastAsia="仿宋_GB2312"/>
          <w:sz w:val="32"/>
          <w:szCs w:val="32"/>
        </w:rPr>
        <w:t>因公出国（境）费用。单位全年安排的因公出国（境）团组0个，因公出国（境）0人次。</w:t>
      </w:r>
    </w:p>
    <w:p w14:paraId="0CFADF53">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w:t>
      </w:r>
      <w:r>
        <w:rPr>
          <w:rFonts w:hint="eastAsia" w:ascii="仿宋_GB2312" w:eastAsia="仿宋_GB2312"/>
          <w:sz w:val="32"/>
          <w:szCs w:val="32"/>
        </w:rPr>
        <w:t>本单位公务用车保有量与固定资产车辆一致无差异</w:t>
      </w:r>
      <w:r>
        <w:rPr>
          <w:rFonts w:hint="eastAsia" w:ascii="仿宋_GB2312" w:eastAsia="仿宋_GB2312"/>
          <w:sz w:val="32"/>
          <w:szCs w:val="32"/>
          <w:lang w:val="en-US" w:eastAsia="zh-CN"/>
        </w:rPr>
        <w:t>。</w:t>
      </w:r>
    </w:p>
    <w:p w14:paraId="0D541DCE">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公务接待费0.00万元，开支内容包括本单位无公务接待费。单位全年安排的国内公务接待0批次，0人次。</w:t>
      </w:r>
    </w:p>
    <w:p w14:paraId="2F02B228">
      <w:pPr>
        <w:spacing w:after="0" w:line="24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与全年预算相比，财政拨款“三公”经费支出全年预算数0.00万元，决算数0.00万元，预决算差异率0.00%，主要原因是：本单位2025年度无财政拨款“三公”经费支出。其中：因公出国（境）费用全年预算数0.00万元，决算数0.00万元，预决算差异率0.00%，主要原因是：本单位2025年度无因公出国（境）费支出；公务用车购置费全年预算数0.00万元，决算数0.00万元，预决算差异率0.00%，主要原因是：本单位2025年度无公务用车购置费；公务用车运行维护费全年预算数0.00万元，决算数0.00万元，预决算差异率0.00%，主要原因是：本单位2025年度无公务用车运行维护费；公务接待费全年预算数0.00万元，决算数0.00万元，预决算差异率0.00%，主要原因是：本单位2025年度无公务接待费。</w:t>
      </w:r>
    </w:p>
    <w:p w14:paraId="5B799951">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十、其他重要事项的情况说明</w:t>
      </w:r>
    </w:p>
    <w:p w14:paraId="4C23C475">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ascii="Times New Roman" w:hAnsi="Times New Roman" w:eastAsia="黑体"/>
          <w:sz w:val="32"/>
          <w:szCs w:val="32"/>
        </w:rPr>
      </w:pPr>
      <w:r>
        <w:rPr>
          <w:rFonts w:ascii="Times New Roman" w:hAnsi="Times New Roman" w:eastAsia="黑体"/>
          <w:b w:val="0"/>
          <w:sz w:val="32"/>
          <w:szCs w:val="32"/>
        </w:rPr>
        <w:t>（一）机关运行经费及公用经费支出情况</w:t>
      </w:r>
    </w:p>
    <w:p w14:paraId="224097D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lang w:val="en-US" w:eastAsia="zh-CN"/>
        </w:rPr>
      </w:pPr>
      <w:r>
        <w:rPr>
          <w:rFonts w:hint="eastAsia" w:ascii="仿宋_GB2312" w:eastAsia="仿宋_GB2312"/>
          <w:b w:val="0"/>
          <w:sz w:val="32"/>
          <w:szCs w:val="32"/>
          <w:lang w:val="en-US" w:eastAsia="zh-CN"/>
        </w:rPr>
        <w:t>2025年度新疆维吾尔自治区人民政府国家三〇五项目办公室（事业单位）公用经费支出34.50万元，比上年增加1.15万元，增长3.45%，主要原因是：单位电费、差旅费增加，导致公用经费支出较上年有所增加。</w:t>
      </w:r>
    </w:p>
    <w:p w14:paraId="1361D57E">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ascii="Times New Roman" w:hAnsi="Times New Roman" w:eastAsia="黑体"/>
          <w:sz w:val="32"/>
          <w:szCs w:val="32"/>
        </w:rPr>
      </w:pPr>
      <w:r>
        <w:rPr>
          <w:rFonts w:ascii="Times New Roman" w:hAnsi="Times New Roman" w:eastAsia="黑体"/>
          <w:b w:val="0"/>
          <w:sz w:val="32"/>
          <w:szCs w:val="32"/>
        </w:rPr>
        <w:t>（二）政府采购情况</w:t>
      </w:r>
    </w:p>
    <w:p w14:paraId="224E980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b w:val="0"/>
          <w:sz w:val="32"/>
          <w:szCs w:val="32"/>
        </w:rPr>
      </w:pPr>
      <w:r>
        <w:rPr>
          <w:rFonts w:ascii="仿宋_GB2312" w:eastAsia="仿宋_GB2312"/>
          <w:b w:val="0"/>
          <w:sz w:val="32"/>
          <w:szCs w:val="32"/>
        </w:rPr>
        <w:t>2025年度政府采购支出总额1,100.34万元，其中：政府采购货物支出1,100.34万元、政府采购工程支出0.00万元、政府采购服务支出0.00万元。</w:t>
      </w:r>
    </w:p>
    <w:p w14:paraId="7E60F974">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b w:val="0"/>
          <w:sz w:val="32"/>
          <w:szCs w:val="32"/>
        </w:rPr>
      </w:pPr>
      <w:r>
        <w:rPr>
          <w:rFonts w:ascii="仿宋_GB2312" w:eastAsia="仿宋_GB2312"/>
          <w:b w:val="0"/>
          <w:sz w:val="32"/>
          <w:szCs w:val="32"/>
        </w:rPr>
        <w:t>授予中小企业合同金额5.65万元，占政府采购支出总额的0.51%，其中：授予小微企业合同金额5.65万元，占政府采购支出总额的0.51%。</w:t>
      </w:r>
    </w:p>
    <w:p w14:paraId="7E53B58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2"/>
        <w:rPr>
          <w:rFonts w:ascii="Times New Roman" w:hAnsi="Times New Roman" w:eastAsia="黑体"/>
          <w:sz w:val="32"/>
          <w:szCs w:val="32"/>
        </w:rPr>
      </w:pPr>
      <w:r>
        <w:rPr>
          <w:rFonts w:ascii="Times New Roman" w:hAnsi="Times New Roman" w:eastAsia="黑体"/>
          <w:b w:val="0"/>
          <w:sz w:val="32"/>
          <w:szCs w:val="32"/>
        </w:rPr>
        <w:t>（三）国有资产占用情况说明</w:t>
      </w:r>
    </w:p>
    <w:p w14:paraId="6F57FB49">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b w:val="0"/>
          <w:sz w:val="32"/>
          <w:szCs w:val="32"/>
        </w:rPr>
      </w:pPr>
      <w:r>
        <w:rPr>
          <w:rFonts w:ascii="仿宋_GB2312" w:eastAsia="仿宋_GB2312"/>
          <w:b w:val="0"/>
          <w:sz w:val="32"/>
          <w:szCs w:val="32"/>
        </w:rPr>
        <w:t>截至2025年12月31日，房屋386.00平方米，价值12.68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b w:val="0"/>
          <w:color w:val="auto"/>
          <w:sz w:val="32"/>
          <w:szCs w:val="32"/>
        </w:rPr>
        <w:t>：</w:t>
      </w:r>
      <w:r>
        <w:rPr>
          <w:rFonts w:hint="eastAsia" w:ascii="仿宋_GB2312" w:eastAsia="仿宋_GB2312"/>
          <w:b w:val="0"/>
          <w:color w:val="auto"/>
          <w:sz w:val="32"/>
          <w:szCs w:val="32"/>
        </w:rPr>
        <w:t>本单位无其他用车</w:t>
      </w:r>
      <w:r>
        <w:rPr>
          <w:rFonts w:hint="eastAsia" w:ascii="仿宋_GB2312" w:eastAsia="仿宋_GB2312"/>
          <w:b w:val="0"/>
          <w:color w:val="auto"/>
          <w:sz w:val="32"/>
          <w:szCs w:val="32"/>
          <w:lang w:eastAsia="zh-CN"/>
        </w:rPr>
        <w:t>；</w:t>
      </w:r>
      <w:r>
        <w:rPr>
          <w:rFonts w:ascii="仿宋_GB2312" w:eastAsia="仿宋_GB2312"/>
          <w:b w:val="0"/>
          <w:sz w:val="32"/>
          <w:szCs w:val="32"/>
        </w:rPr>
        <w:t>单价100万元（含）以上设备（不含车辆）1台（套）。</w:t>
      </w:r>
    </w:p>
    <w:p w14:paraId="3286FB95">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十一、预算绩效的情况说明</w:t>
      </w:r>
    </w:p>
    <w:p w14:paraId="03892F54">
      <w:pPr>
        <w:spacing w:after="0" w:line="240" w:lineRule="auto"/>
        <w:ind w:firstLine="640" w:firstLineChars="200"/>
        <w:jc w:val="both"/>
        <w:rPr>
          <w:rFonts w:ascii="仿宋_GB2312" w:eastAsia="仿宋_GB2312"/>
          <w:sz w:val="32"/>
          <w:szCs w:val="32"/>
        </w:rPr>
      </w:pPr>
      <w:r>
        <w:rPr>
          <w:rFonts w:ascii="仿宋_GB2312" w:eastAsia="仿宋_GB2312"/>
          <w:sz w:val="32"/>
          <w:szCs w:val="32"/>
        </w:rPr>
        <w:t>根据预算绩效管理要求，本单位2025</w:t>
      </w:r>
      <w:bookmarkStart w:id="0" w:name="_GoBack"/>
      <w:bookmarkEnd w:id="0"/>
      <w:r>
        <w:rPr>
          <w:rFonts w:ascii="仿宋_GB2312" w:eastAsia="仿宋_GB2312"/>
          <w:sz w:val="32"/>
          <w:szCs w:val="32"/>
        </w:rPr>
        <w:t>年度预算绩效评价项目</w:t>
      </w:r>
      <w:r>
        <w:rPr>
          <w:rFonts w:hint="eastAsia" w:ascii="仿宋_GB2312" w:eastAsia="仿宋_GB2312"/>
          <w:sz w:val="32"/>
          <w:szCs w:val="32"/>
          <w:lang w:val="en-US" w:eastAsia="zh-CN"/>
        </w:rPr>
        <w:t>1</w:t>
      </w:r>
      <w:r>
        <w:rPr>
          <w:rFonts w:ascii="仿宋_GB2312" w:eastAsia="仿宋_GB2312"/>
          <w:sz w:val="32"/>
          <w:szCs w:val="32"/>
        </w:rPr>
        <w:t>个，全年预</w:t>
      </w:r>
      <w:r>
        <w:rPr>
          <w:rFonts w:ascii="仿宋_GB2312" w:eastAsia="仿宋_GB2312"/>
          <w:color w:val="auto"/>
          <w:sz w:val="32"/>
          <w:szCs w:val="32"/>
        </w:rPr>
        <w:t>算数</w:t>
      </w:r>
      <w:r>
        <w:rPr>
          <w:rFonts w:hint="eastAsia" w:ascii="仿宋_GB2312" w:eastAsia="仿宋_GB2312"/>
          <w:color w:val="auto"/>
          <w:sz w:val="32"/>
          <w:szCs w:val="32"/>
          <w:lang w:val="en-US" w:eastAsia="zh-CN"/>
        </w:rPr>
        <w:t>1</w:t>
      </w:r>
      <w:r>
        <w:rPr>
          <w:rFonts w:ascii="仿宋_GB2312" w:eastAsia="仿宋_GB2312"/>
          <w:b w:val="0"/>
          <w:color w:val="auto"/>
          <w:sz w:val="32"/>
          <w:szCs w:val="32"/>
        </w:rPr>
        <w:t>,</w:t>
      </w:r>
      <w:r>
        <w:rPr>
          <w:rFonts w:hint="eastAsia" w:ascii="仿宋_GB2312" w:eastAsia="仿宋_GB2312"/>
          <w:color w:val="auto"/>
          <w:sz w:val="32"/>
          <w:szCs w:val="32"/>
          <w:lang w:val="en-US" w:eastAsia="zh-CN"/>
        </w:rPr>
        <w:t>513.00</w:t>
      </w:r>
      <w:r>
        <w:rPr>
          <w:rFonts w:ascii="仿宋_GB2312" w:eastAsia="仿宋_GB2312"/>
          <w:color w:val="auto"/>
          <w:sz w:val="32"/>
          <w:szCs w:val="32"/>
        </w:rPr>
        <w:t>万元，</w:t>
      </w:r>
      <w:r>
        <w:rPr>
          <w:rFonts w:ascii="仿宋_GB2312" w:eastAsia="仿宋_GB2312"/>
          <w:sz w:val="32"/>
          <w:szCs w:val="32"/>
        </w:rPr>
        <w:t>全年执行数</w:t>
      </w:r>
      <w:r>
        <w:rPr>
          <w:rFonts w:hint="eastAsia" w:ascii="仿宋_GB2312" w:eastAsia="仿宋_GB2312"/>
          <w:sz w:val="32"/>
          <w:szCs w:val="32"/>
          <w:lang w:val="en-US" w:eastAsia="zh-CN"/>
        </w:rPr>
        <w:t>1</w:t>
      </w:r>
      <w:r>
        <w:rPr>
          <w:rFonts w:ascii="仿宋_GB2312" w:eastAsia="仿宋_GB2312"/>
          <w:b w:val="0"/>
          <w:sz w:val="32"/>
          <w:szCs w:val="32"/>
        </w:rPr>
        <w:t>,</w:t>
      </w:r>
      <w:r>
        <w:rPr>
          <w:rFonts w:hint="eastAsia" w:ascii="仿宋_GB2312" w:eastAsia="仿宋_GB2312"/>
          <w:sz w:val="32"/>
          <w:szCs w:val="32"/>
          <w:lang w:val="en-US" w:eastAsia="zh-CN"/>
        </w:rPr>
        <w:t>513.00</w:t>
      </w:r>
      <w:r>
        <w:rPr>
          <w:rFonts w:ascii="仿宋_GB2312" w:eastAsia="仿宋_GB2312"/>
          <w:sz w:val="32"/>
          <w:szCs w:val="32"/>
        </w:rPr>
        <w:t>万元。预算绩效管理取得的成效：</w:t>
      </w:r>
      <w:r>
        <w:rPr>
          <w:rFonts w:hint="eastAsia" w:ascii="仿宋_GB2312" w:eastAsia="仿宋_GB2312"/>
          <w:sz w:val="32"/>
          <w:szCs w:val="32"/>
        </w:rPr>
        <w:t>一是立足主责主业，做实项目全流程管理。完成组织实施深地国家重大科技专项和国家重点研发计划项目6项，完成“第二次青藏高原综合科学考察”专题结题验收。</w:t>
      </w:r>
      <w:r>
        <w:rPr>
          <w:rFonts w:hint="eastAsia" w:ascii="仿宋_GB2312" w:eastAsia="仿宋_GB2312"/>
          <w:sz w:val="32"/>
          <w:szCs w:val="32"/>
          <w:lang w:val="en-US" w:eastAsia="zh-CN"/>
        </w:rPr>
        <w:t>出版成果专著2部；完成</w:t>
      </w:r>
      <w:r>
        <w:rPr>
          <w:rFonts w:hint="eastAsia" w:ascii="仿宋_GB2312" w:eastAsia="仿宋_GB2312"/>
          <w:sz w:val="32"/>
          <w:szCs w:val="32"/>
          <w:lang w:eastAsia="zh-CN"/>
        </w:rPr>
        <w:t>自治区</w:t>
      </w:r>
      <w:r>
        <w:rPr>
          <w:rFonts w:hint="eastAsia" w:ascii="仿宋_GB2312" w:eastAsia="仿宋_GB2312"/>
          <w:sz w:val="32"/>
          <w:szCs w:val="32"/>
        </w:rPr>
        <w:t>重大科技专项</w:t>
      </w:r>
      <w:r>
        <w:rPr>
          <w:rFonts w:hint="eastAsia" w:ascii="仿宋_GB2312" w:eastAsia="仿宋_GB2312"/>
          <w:sz w:val="32"/>
          <w:szCs w:val="32"/>
          <w:lang w:eastAsia="zh-CN"/>
        </w:rPr>
        <w:t>和</w:t>
      </w:r>
      <w:r>
        <w:rPr>
          <w:rFonts w:hint="eastAsia" w:ascii="仿宋_GB2312" w:eastAsia="仿宋_GB2312"/>
          <w:sz w:val="32"/>
          <w:szCs w:val="32"/>
        </w:rPr>
        <w:t>重点研发计划项目</w:t>
      </w:r>
      <w:r>
        <w:rPr>
          <w:rFonts w:hint="eastAsia" w:ascii="仿宋_GB2312" w:eastAsia="仿宋_GB2312"/>
          <w:sz w:val="32"/>
          <w:szCs w:val="32"/>
          <w:lang w:val="en-US" w:eastAsia="zh-CN"/>
        </w:rPr>
        <w:t>10</w:t>
      </w:r>
      <w:r>
        <w:rPr>
          <w:rFonts w:hint="eastAsia" w:ascii="仿宋_GB2312" w:eastAsia="仿宋_GB2312"/>
          <w:sz w:val="32"/>
          <w:szCs w:val="32"/>
        </w:rPr>
        <w:t>项，“塔里木盆地中新生代盐湖成钾规律”项目预测新增KCl资源</w:t>
      </w:r>
      <w:r>
        <w:rPr>
          <w:rFonts w:hint="eastAsia" w:ascii="仿宋_GB2312" w:eastAsia="仿宋_GB2312"/>
          <w:sz w:val="32"/>
          <w:szCs w:val="32"/>
          <w:lang w:val="en-US" w:eastAsia="zh-CN"/>
        </w:rPr>
        <w:t>1.7亿</w:t>
      </w:r>
      <w:r>
        <w:rPr>
          <w:rFonts w:hint="eastAsia" w:ascii="仿宋_GB2312" w:eastAsia="仿宋_GB2312"/>
          <w:sz w:val="32"/>
          <w:szCs w:val="32"/>
        </w:rPr>
        <w:t>吨，实现新区找钾突破</w:t>
      </w:r>
      <w:r>
        <w:rPr>
          <w:rFonts w:hint="eastAsia" w:ascii="仿宋_GB2312" w:eastAsia="仿宋_GB2312"/>
          <w:sz w:val="32"/>
          <w:szCs w:val="32"/>
          <w:lang w:eastAsia="zh-CN"/>
        </w:rPr>
        <w:t>，</w:t>
      </w:r>
      <w:r>
        <w:rPr>
          <w:rFonts w:hint="eastAsia" w:ascii="仿宋_GB2312" w:eastAsia="仿宋_GB2312"/>
          <w:sz w:val="32"/>
          <w:szCs w:val="32"/>
        </w:rPr>
        <w:t>“昆仑-阿尔金锂等稀有稀土矿产”项目新增氧化锂</w:t>
      </w:r>
      <w:r>
        <w:rPr>
          <w:rFonts w:hint="eastAsia" w:ascii="仿宋_GB2312" w:eastAsia="仿宋_GB2312"/>
          <w:sz w:val="32"/>
          <w:szCs w:val="32"/>
          <w:lang w:val="en-US" w:eastAsia="zh-CN"/>
        </w:rPr>
        <w:t>26万</w:t>
      </w:r>
      <w:r>
        <w:rPr>
          <w:rFonts w:hint="eastAsia" w:ascii="仿宋_GB2312" w:eastAsia="仿宋_GB2312"/>
          <w:sz w:val="32"/>
          <w:szCs w:val="32"/>
        </w:rPr>
        <w:t>吨、氧化铍</w:t>
      </w:r>
      <w:r>
        <w:rPr>
          <w:rFonts w:hint="eastAsia" w:ascii="仿宋_GB2312" w:eastAsia="仿宋_GB2312"/>
          <w:sz w:val="32"/>
          <w:szCs w:val="32"/>
          <w:lang w:val="en-US" w:eastAsia="zh-CN"/>
        </w:rPr>
        <w:t>2万吨；“天山及邻区早二叠世金镍成矿”项目新增金预测资源5.6吨</w:t>
      </w:r>
      <w:r>
        <w:rPr>
          <w:rFonts w:hint="eastAsia" w:ascii="仿宋_GB2312" w:eastAsia="仿宋_GB2312"/>
          <w:sz w:val="32"/>
          <w:szCs w:val="32"/>
        </w:rPr>
        <w:t>、镍预测资</w:t>
      </w:r>
      <w:r>
        <w:rPr>
          <w:rFonts w:hint="eastAsia" w:ascii="仿宋_GB2312" w:eastAsia="仿宋_GB2312"/>
          <w:sz w:val="32"/>
          <w:szCs w:val="32"/>
          <w:lang w:val="en-US" w:eastAsia="zh-CN"/>
        </w:rPr>
        <w:t>源2万</w:t>
      </w:r>
      <w:r>
        <w:rPr>
          <w:rFonts w:hint="eastAsia" w:ascii="仿宋_GB2312" w:eastAsia="仿宋_GB2312"/>
          <w:sz w:val="32"/>
          <w:szCs w:val="32"/>
        </w:rPr>
        <w:t>吨</w:t>
      </w:r>
      <w:r>
        <w:rPr>
          <w:rFonts w:hint="eastAsia" w:ascii="仿宋_GB2312" w:eastAsia="仿宋_GB2312"/>
          <w:sz w:val="32"/>
          <w:szCs w:val="32"/>
          <w:lang w:eastAsia="zh-CN"/>
        </w:rPr>
        <w:t>；</w:t>
      </w:r>
      <w:r>
        <w:rPr>
          <w:rFonts w:hint="eastAsia" w:ascii="仿宋_GB2312" w:eastAsia="仿宋_GB2312"/>
          <w:sz w:val="32"/>
          <w:szCs w:val="32"/>
          <w:lang w:val="en-US" w:eastAsia="zh-CN"/>
        </w:rPr>
        <w:t>成功申报自治区自然科学基金青年项目1项，自治区专家顾问团项目1项。参与申报深地国家重大科技专项和区域协同创新专项等项目多项，参与“第三次新疆综合科学考察”专题研究“天山北坡能源开发生态效应研究”取得阶段性成果；二</w:t>
      </w:r>
      <w:r>
        <w:rPr>
          <w:rFonts w:hint="eastAsia" w:ascii="仿宋_GB2312" w:eastAsia="仿宋_GB2312"/>
          <w:sz w:val="32"/>
          <w:szCs w:val="32"/>
        </w:rPr>
        <w:t>是树牢预算绩效管理理念，不断提升预算绩效管理能力。项目实施全过程严格对照项目申报书、合同书、预算书落实执行，修订完善项目管理制度以及经费支付管理细则，切实提升财政资金使用效益，确保全部项目绩效目标圆满完成。</w:t>
      </w:r>
    </w:p>
    <w:p w14:paraId="75EBEA62">
      <w:pPr>
        <w:spacing w:after="0" w:line="240" w:lineRule="auto"/>
        <w:ind w:firstLine="640" w:firstLineChars="200"/>
        <w:jc w:val="both"/>
        <w:rPr>
          <w:rFonts w:ascii="仿宋_GB2312" w:eastAsia="仿宋_GB2312"/>
          <w:sz w:val="32"/>
          <w:szCs w:val="32"/>
        </w:rPr>
      </w:pPr>
      <w:r>
        <w:rPr>
          <w:rFonts w:ascii="仿宋_GB2312" w:eastAsia="仿宋_GB2312"/>
          <w:sz w:val="32"/>
          <w:szCs w:val="32"/>
        </w:rPr>
        <w:t>发现的问题及原因：</w:t>
      </w:r>
      <w:r>
        <w:rPr>
          <w:rFonts w:hint="eastAsia" w:ascii="仿宋_GB2312" w:eastAsia="仿宋_GB2312"/>
          <w:sz w:val="32"/>
          <w:szCs w:val="32"/>
          <w:lang w:val="en-US" w:eastAsia="zh-CN"/>
        </w:rPr>
        <w:t>一是</w:t>
      </w:r>
      <w:r>
        <w:rPr>
          <w:rFonts w:hint="eastAsia" w:ascii="仿宋_GB2312" w:eastAsia="仿宋_GB2312"/>
          <w:sz w:val="32"/>
          <w:szCs w:val="32"/>
        </w:rPr>
        <w:t>绩效运行动态监控的深度和精准度仍有不足。目前对项目的监控多聚焦于资金执行进度的核查，对科研项目阶段性成果产出、绩效目标节点达成情况的“双监控”覆盖不够全面，尚未建立适配地质科研类项目特点的红黄灯预警机制，部分长周期科研课题的绩效偏差难以及时被发现并纠偏，一定程度上影响了整体绩效目标的推进节奏</w:t>
      </w:r>
      <w:r>
        <w:rPr>
          <w:rFonts w:hint="eastAsia" w:ascii="仿宋_GB2312" w:eastAsia="仿宋_GB2312"/>
          <w:sz w:val="32"/>
          <w:szCs w:val="32"/>
          <w:lang w:eastAsia="zh-CN"/>
        </w:rPr>
        <w:t>；</w:t>
      </w:r>
      <w:r>
        <w:rPr>
          <w:rFonts w:hint="eastAsia" w:ascii="仿宋_GB2312" w:eastAsia="仿宋_GB2312"/>
          <w:sz w:val="32"/>
          <w:szCs w:val="32"/>
          <w:lang w:val="en-US" w:eastAsia="zh-CN"/>
        </w:rPr>
        <w:t>二是</w:t>
      </w:r>
      <w:r>
        <w:rPr>
          <w:rFonts w:hint="eastAsia" w:ascii="仿宋_GB2312" w:eastAsia="仿宋_GB2312"/>
          <w:sz w:val="32"/>
          <w:szCs w:val="32"/>
        </w:rPr>
        <w:t>绩效评价结果的应用场景仍需进一步拓展。当前绩效自评结果主要用于年度预算公开和项目归档，尚未完全与后续科研项目立项优先级、资金分配额度、科研团队考核激励深度挂钩，绩效优秀的项目团队未建立对应的正向激励机制，绩效自评的导向作用和约束作用尚未充分释放。</w:t>
      </w:r>
    </w:p>
    <w:p w14:paraId="1B9A8947">
      <w:pPr>
        <w:spacing w:after="0" w:line="240" w:lineRule="auto"/>
        <w:ind w:firstLine="640" w:firstLineChars="200"/>
        <w:jc w:val="both"/>
        <w:rPr>
          <w:rFonts w:hint="eastAsia" w:ascii="仿宋_GB2312" w:eastAsia="仿宋_GB2312"/>
          <w:sz w:val="32"/>
          <w:szCs w:val="32"/>
        </w:rPr>
      </w:pPr>
      <w:r>
        <w:rPr>
          <w:rFonts w:ascii="仿宋_GB2312" w:eastAsia="仿宋_GB2312"/>
          <w:sz w:val="32"/>
          <w:szCs w:val="32"/>
        </w:rPr>
        <w:t>下一步改进措施</w:t>
      </w:r>
      <w:r>
        <w:rPr>
          <w:rFonts w:hint="eastAsia" w:ascii="仿宋_GB2312" w:eastAsia="仿宋_GB2312"/>
          <w:sz w:val="32"/>
          <w:szCs w:val="32"/>
        </w:rPr>
        <w:t>：</w:t>
      </w:r>
      <w:r>
        <w:rPr>
          <w:rFonts w:hint="eastAsia" w:ascii="仿宋_GB2312" w:eastAsia="仿宋_GB2312"/>
          <w:sz w:val="32"/>
          <w:szCs w:val="32"/>
          <w:lang w:val="en-US" w:eastAsia="zh-CN"/>
        </w:rPr>
        <w:t>一是</w:t>
      </w:r>
      <w:r>
        <w:rPr>
          <w:rFonts w:hint="eastAsia" w:ascii="仿宋_GB2312" w:eastAsia="仿宋_GB2312"/>
          <w:sz w:val="32"/>
          <w:szCs w:val="32"/>
        </w:rPr>
        <w:t>构建适配科研属性的全周期绩效监控机制。针对地质科研项目长周期、探索性强的特点，优化“预算执行进度+绩效目标达成度”双监控体系，按课题研究</w:t>
      </w:r>
      <w:r>
        <w:rPr>
          <w:rFonts w:hint="eastAsia" w:ascii="仿宋_GB2312" w:eastAsia="仿宋_GB2312"/>
          <w:sz w:val="32"/>
          <w:szCs w:val="32"/>
          <w:lang w:val="en-US" w:eastAsia="zh-CN"/>
        </w:rPr>
        <w:t>进度，</w:t>
      </w:r>
      <w:r>
        <w:rPr>
          <w:rFonts w:hint="eastAsia" w:ascii="仿宋_GB2312" w:eastAsia="仿宋_GB2312"/>
          <w:sz w:val="32"/>
          <w:szCs w:val="32"/>
        </w:rPr>
        <w:t>对资金拨付进度与成果产出进度不匹配的项目及时启动提醒整改，</w:t>
      </w:r>
      <w:r>
        <w:rPr>
          <w:rFonts w:hint="eastAsia" w:ascii="仿宋_GB2312" w:eastAsia="仿宋_GB2312"/>
          <w:sz w:val="32"/>
          <w:szCs w:val="32"/>
          <w:lang w:val="en-US" w:eastAsia="zh-CN"/>
        </w:rPr>
        <w:t>项目管理人员</w:t>
      </w:r>
      <w:r>
        <w:rPr>
          <w:rFonts w:hint="eastAsia" w:ascii="仿宋_GB2312" w:eastAsia="仿宋_GB2312"/>
          <w:sz w:val="32"/>
          <w:szCs w:val="32"/>
        </w:rPr>
        <w:t>定期跟进各课题研究进展，实现绩效偏差早发现、早纠正</w:t>
      </w:r>
      <w:r>
        <w:rPr>
          <w:rFonts w:hint="eastAsia" w:ascii="仿宋_GB2312" w:eastAsia="仿宋_GB2312"/>
          <w:sz w:val="32"/>
          <w:szCs w:val="32"/>
          <w:lang w:eastAsia="zh-CN"/>
        </w:rPr>
        <w:t>；</w:t>
      </w:r>
      <w:r>
        <w:rPr>
          <w:rFonts w:hint="eastAsia" w:ascii="仿宋_GB2312" w:eastAsia="仿宋_GB2312"/>
          <w:sz w:val="32"/>
          <w:szCs w:val="32"/>
          <w:lang w:val="en-US" w:eastAsia="zh-CN"/>
        </w:rPr>
        <w:t>二是</w:t>
      </w:r>
      <w:r>
        <w:rPr>
          <w:rFonts w:hint="eastAsia" w:ascii="仿宋_GB2312" w:eastAsia="仿宋_GB2312"/>
          <w:sz w:val="32"/>
          <w:szCs w:val="32"/>
        </w:rPr>
        <w:t>健全绩效结果与资源分配联动的激励约束机制。将年度绩效自评结果作为下一年度科研项目申报、资金额度分配的核心参考依据，在后续项目立项评审中给予优先支持；将绩效履职情况纳入科研人员年度考核指标，切实把“花钱必问效、无效必问责”落到实处。</w:t>
      </w:r>
    </w:p>
    <w:p w14:paraId="332A5BE0">
      <w:pPr>
        <w:spacing w:after="0" w:line="240" w:lineRule="auto"/>
        <w:ind w:firstLine="640" w:firstLineChars="200"/>
        <w:jc w:val="both"/>
        <w:rPr>
          <w:rFonts w:ascii="仿宋_GB2312" w:eastAsia="仿宋_GB2312"/>
          <w:sz w:val="32"/>
          <w:szCs w:val="32"/>
        </w:rPr>
      </w:pPr>
      <w:r>
        <w:rPr>
          <w:rFonts w:hint="eastAsia" w:ascii="仿宋_GB2312" w:eastAsia="仿宋_GB2312"/>
          <w:sz w:val="32"/>
          <w:szCs w:val="32"/>
        </w:rPr>
        <w:t>具</w:t>
      </w:r>
      <w:r>
        <w:rPr>
          <w:rFonts w:ascii="仿宋_GB2312" w:eastAsia="仿宋_GB2312"/>
          <w:sz w:val="32"/>
          <w:szCs w:val="32"/>
        </w:rPr>
        <w:t>体附项目支出绩效自评表。</w:t>
      </w:r>
    </w:p>
    <w:p w14:paraId="5F27423F">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黑体"/>
          <w:sz w:val="32"/>
          <w:szCs w:val="32"/>
        </w:rPr>
      </w:pPr>
      <w:r>
        <w:rPr>
          <w:rFonts w:ascii="Times New Roman" w:hAnsi="Times New Roman" w:eastAsia="黑体"/>
          <w:b w:val="0"/>
          <w:sz w:val="32"/>
          <w:szCs w:val="32"/>
        </w:rPr>
        <w:t>十二、其他需说明的事项</w:t>
      </w:r>
    </w:p>
    <w:p w14:paraId="05BF1ED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本单位无其他需说明的事项。</w:t>
      </w:r>
    </w:p>
    <w:p w14:paraId="5AEFAE21">
      <w:pPr>
        <w:bidi w:val="0"/>
        <w:rPr>
          <w:rFonts w:hint="eastAsia"/>
        </w:rPr>
      </w:pPr>
    </w:p>
    <w:p w14:paraId="631B0469">
      <w:pPr>
        <w:bidi w:val="0"/>
      </w:pPr>
    </w:p>
    <w:p w14:paraId="5D302A30">
      <w:pPr>
        <w:bidi w:val="0"/>
      </w:pPr>
    </w:p>
    <w:p w14:paraId="44C9725F">
      <w:pPr>
        <w:bidi w:val="0"/>
      </w:pPr>
    </w:p>
    <w:p w14:paraId="287D1FCD">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center"/>
        <w:textAlignment w:val="auto"/>
        <w:outlineLvl w:val="0"/>
        <w:rPr>
          <w:rFonts w:ascii="Times New Roman" w:hAnsi="Times New Roman" w:eastAsia="黑体"/>
          <w:sz w:val="32"/>
          <w:szCs w:val="32"/>
        </w:rPr>
      </w:pPr>
      <w:r>
        <w:rPr>
          <w:rFonts w:ascii="Times New Roman" w:hAnsi="Times New Roman" w:eastAsia="黑体"/>
          <w:b w:val="0"/>
          <w:sz w:val="32"/>
          <w:szCs w:val="32"/>
        </w:rPr>
        <w:t>第三部分 专业名词解释</w:t>
      </w:r>
    </w:p>
    <w:p w14:paraId="6517ABC2">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一、财政拨款收入：</w:t>
      </w:r>
      <w:r>
        <w:rPr>
          <w:rFonts w:ascii="Times New Roman" w:hAnsi="Times New Roman" w:eastAsia="仿宋_GB2312"/>
          <w:b w:val="0"/>
          <w:sz w:val="32"/>
          <w:szCs w:val="32"/>
        </w:rPr>
        <w:t>指单位本年度从同级财政部门取得的财政拨款，包括一般公共预算财政拨款、政府性基金预算财政拨款和国有资本经营预算财政拨款。</w:t>
      </w:r>
    </w:p>
    <w:p w14:paraId="3AA5F1C2">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二、上级补助收入：</w:t>
      </w:r>
      <w:r>
        <w:rPr>
          <w:rFonts w:ascii="Times New Roman" w:hAnsi="Times New Roman" w:eastAsia="仿宋_GB2312"/>
          <w:b w:val="0"/>
          <w:sz w:val="32"/>
          <w:szCs w:val="32"/>
        </w:rPr>
        <w:t>指事业单位从主管部门和上级单位取得的非财政补助收入。</w:t>
      </w:r>
    </w:p>
    <w:p w14:paraId="02EFB660">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三、事业收入：</w:t>
      </w:r>
      <w:r>
        <w:rPr>
          <w:rFonts w:ascii="Times New Roman" w:hAnsi="Times New Roman" w:eastAsia="仿宋_GB2312"/>
          <w:b w:val="0"/>
          <w:sz w:val="32"/>
          <w:szCs w:val="32"/>
        </w:rPr>
        <w:t>指事业单位开展专业业务活动及其辅助活动取得的收入。</w:t>
      </w:r>
    </w:p>
    <w:p w14:paraId="2D9D917D">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四、经营收入：</w:t>
      </w:r>
      <w:r>
        <w:rPr>
          <w:rFonts w:ascii="Times New Roman" w:hAnsi="Times New Roman" w:eastAsia="仿宋_GB2312"/>
          <w:b w:val="0"/>
          <w:sz w:val="32"/>
          <w:szCs w:val="32"/>
        </w:rPr>
        <w:t>指事业单位在专业业务活动及其辅助活动之外开展非独立核算经营活动取得的收入。</w:t>
      </w:r>
    </w:p>
    <w:p w14:paraId="09447D7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五、附属单位上缴收入：</w:t>
      </w:r>
      <w:r>
        <w:rPr>
          <w:rFonts w:ascii="Times New Roman" w:hAnsi="Times New Roman" w:eastAsia="仿宋_GB2312"/>
          <w:b w:val="0"/>
          <w:sz w:val="32"/>
          <w:szCs w:val="32"/>
        </w:rPr>
        <w:t>指事业单位附属独立核算单位按照有关规定上缴的收入。</w:t>
      </w:r>
    </w:p>
    <w:p w14:paraId="02F3DD2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六、其他收入：</w:t>
      </w:r>
      <w:r>
        <w:rPr>
          <w:rFonts w:ascii="Times New Roman" w:hAnsi="Times New Roman" w:eastAsia="仿宋_GB2312"/>
          <w:b w:val="0"/>
          <w:sz w:val="32"/>
          <w:szCs w:val="32"/>
        </w:rPr>
        <w:t>指单位取得的除上述“财政拨款收入”“上级补助收入”“事业收入”“经营收入”“附属单位上缴收入”以外的各项收入。</w:t>
      </w:r>
    </w:p>
    <w:p w14:paraId="60910912">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七、年初结转和结余：</w:t>
      </w:r>
      <w:r>
        <w:rPr>
          <w:rFonts w:ascii="Times New Roman" w:hAnsi="Times New Roman" w:eastAsia="仿宋_GB2312"/>
          <w:b w:val="0"/>
          <w:sz w:val="32"/>
          <w:szCs w:val="32"/>
        </w:rPr>
        <w:t>指单位上年结转本年使用的基本支出结转、项目支出结转和结余、经营结余。</w:t>
      </w:r>
    </w:p>
    <w:p w14:paraId="4BF2DB7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八、使用非财政拨款结余（含专用结余）：</w:t>
      </w:r>
      <w:r>
        <w:rPr>
          <w:rFonts w:ascii="Times New Roman" w:hAnsi="Times New Roman" w:eastAsia="仿宋_GB2312"/>
          <w:b w:val="0"/>
          <w:sz w:val="32"/>
          <w:szCs w:val="32"/>
        </w:rPr>
        <w:t>指单位按照预算管理要求使用非财政拨款结余弥补收支差额的金额，以及使用专用结余安排支出的金额。</w:t>
      </w:r>
    </w:p>
    <w:p w14:paraId="0AC53793">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九、结余分配</w:t>
      </w:r>
      <w:r>
        <w:rPr>
          <w:rFonts w:ascii="Times New Roman" w:hAnsi="Times New Roman" w:eastAsia="仿宋_GB2312"/>
          <w:b w:val="0"/>
          <w:sz w:val="32"/>
          <w:szCs w:val="32"/>
        </w:rPr>
        <w:t>：指单位缴纳企业所得税以及从非财政拨款结余或经营结余中提取各类结余的情况。</w:t>
      </w:r>
    </w:p>
    <w:p w14:paraId="55C68FA2">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十、年末结转和结余</w:t>
      </w:r>
      <w:r>
        <w:rPr>
          <w:rFonts w:ascii="Times New Roman" w:hAnsi="Times New Roman" w:eastAsia="仿宋_GB2312"/>
          <w:b w:val="0"/>
          <w:sz w:val="32"/>
          <w:szCs w:val="32"/>
        </w:rPr>
        <w:t>：指单位结转下年的基本支出结转、项目支出结转和结余、经营结余。</w:t>
      </w:r>
    </w:p>
    <w:p w14:paraId="58661D5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十一、基本支出</w:t>
      </w:r>
      <w:r>
        <w:rPr>
          <w:rFonts w:ascii="Times New Roman" w:hAnsi="Times New Roman" w:eastAsia="仿宋_GB2312"/>
          <w:b w:val="0"/>
          <w:sz w:val="32"/>
          <w:szCs w:val="32"/>
        </w:rPr>
        <w:t>：指单位为保障机构正常运转、完成日常工作任务而发生的各项支出。</w:t>
      </w:r>
    </w:p>
    <w:p w14:paraId="4C18E44B">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十二、项目支出：</w:t>
      </w:r>
      <w:r>
        <w:rPr>
          <w:rFonts w:ascii="Times New Roman" w:hAnsi="Times New Roman" w:eastAsia="仿宋_GB2312"/>
          <w:b w:val="0"/>
          <w:sz w:val="32"/>
          <w:szCs w:val="32"/>
        </w:rPr>
        <w:t>指单位为完成特定的行政工作任务或事业发展目标，在基本支出之外发生的各项支出。</w:t>
      </w:r>
    </w:p>
    <w:p w14:paraId="27878CC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十三、上缴上级支出：</w:t>
      </w:r>
      <w:r>
        <w:rPr>
          <w:rFonts w:ascii="Times New Roman" w:hAnsi="Times New Roman" w:eastAsia="仿宋_GB2312"/>
          <w:b w:val="0"/>
          <w:sz w:val="32"/>
          <w:szCs w:val="32"/>
        </w:rPr>
        <w:t>指事业单位按照财政部门和主管部门的规定上缴上级单位的支出。</w:t>
      </w:r>
    </w:p>
    <w:p w14:paraId="7C5C9D10">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十四、经营支出：</w:t>
      </w:r>
      <w:r>
        <w:rPr>
          <w:rFonts w:ascii="Times New Roman" w:hAnsi="Times New Roman" w:eastAsia="仿宋_GB2312"/>
          <w:b w:val="0"/>
          <w:sz w:val="32"/>
          <w:szCs w:val="32"/>
        </w:rPr>
        <w:t>指事业单位在专业活动及辅助活动之外开展非独立核算经营活动发生的支出。</w:t>
      </w:r>
    </w:p>
    <w:p w14:paraId="55ADFBF4">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十五、对附属单位补助支出：</w:t>
      </w:r>
      <w:r>
        <w:rPr>
          <w:rFonts w:ascii="Times New Roman" w:hAnsi="Times New Roman" w:eastAsia="仿宋_GB2312"/>
          <w:b w:val="0"/>
          <w:sz w:val="32"/>
          <w:szCs w:val="32"/>
        </w:rPr>
        <w:t>指事业单位用财政补助收入之外的收入对附属单位补助发生的支出。</w:t>
      </w:r>
    </w:p>
    <w:p w14:paraId="3CAD471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十六、“三公”经费：</w:t>
      </w:r>
      <w:r>
        <w:rPr>
          <w:rFonts w:ascii="Times New Roman" w:hAnsi="Times New Roman"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203D38F">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rPr>
          <w:rFonts w:ascii="Times New Roman" w:hAnsi="Times New Roman" w:eastAsia="仿宋_GB2312"/>
          <w:sz w:val="32"/>
          <w:szCs w:val="32"/>
        </w:rPr>
      </w:pPr>
      <w:r>
        <w:rPr>
          <w:rFonts w:ascii="Times New Roman" w:hAnsi="Times New Roman" w:eastAsia="仿宋_GB2312"/>
          <w:b/>
          <w:sz w:val="32"/>
          <w:szCs w:val="32"/>
        </w:rPr>
        <w:t>十七、机关运行经费：</w:t>
      </w:r>
      <w:r>
        <w:rPr>
          <w:rFonts w:ascii="Times New Roman" w:hAnsi="Times New Roman" w:eastAsia="仿宋_GB2312"/>
          <w:b w:val="0"/>
          <w:sz w:val="32"/>
          <w:szCs w:val="32"/>
        </w:rPr>
        <w:t>指行政单位和参照公务员法管理的事业单位财政拨款基本支出中的公用经费支出。</w:t>
      </w:r>
    </w:p>
    <w:p w14:paraId="0A3B6DDF">
      <w:pPr>
        <w:keepNext w:val="0"/>
        <w:keepLines w:val="0"/>
        <w:pageBreakBefore w:val="0"/>
        <w:widowControl w:val="0"/>
        <w:kinsoku/>
        <w:wordWrap/>
        <w:overflowPunct/>
        <w:topLinePunct w:val="0"/>
        <w:autoSpaceDE/>
        <w:autoSpaceDN/>
        <w:bidi w:val="0"/>
        <w:adjustRightInd/>
        <w:snapToGrid/>
        <w:ind w:firstLine="0" w:firstLineChars="200"/>
        <w:textAlignment w:val="auto"/>
        <w:rPr>
          <w:rFonts w:ascii="Times New Roman" w:hAnsi="Times New Roman"/>
        </w:rPr>
      </w:pPr>
      <w:r>
        <w:rPr>
          <w:rFonts w:ascii="Times New Roman" w:hAnsi="Times New Roman"/>
          <w:b w:val="0"/>
          <w:sz w:val="0"/>
          <w:szCs w:val="0"/>
        </w:rPr>
        <w:br w:type="page"/>
      </w:r>
    </w:p>
    <w:p w14:paraId="457A8A1C">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center"/>
        <w:textAlignment w:val="auto"/>
        <w:outlineLvl w:val="0"/>
        <w:rPr>
          <w:rFonts w:ascii="Times New Roman" w:hAnsi="Times New Roman" w:eastAsia="黑体"/>
          <w:sz w:val="32"/>
          <w:szCs w:val="32"/>
        </w:rPr>
      </w:pPr>
      <w:r>
        <w:rPr>
          <w:rFonts w:ascii="Times New Roman" w:hAnsi="Times New Roman" w:eastAsia="黑体"/>
          <w:b w:val="0"/>
          <w:sz w:val="32"/>
          <w:szCs w:val="32"/>
        </w:rPr>
        <w:t>第四部分 部门决算报表（见附表）</w:t>
      </w:r>
    </w:p>
    <w:p w14:paraId="30957F9F">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一、《收入支出决算总表》</w:t>
      </w:r>
    </w:p>
    <w:p w14:paraId="17AFD4C3">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二、《收入决算表》</w:t>
      </w:r>
    </w:p>
    <w:p w14:paraId="7D00B8AA">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三、《支出决算表》</w:t>
      </w:r>
    </w:p>
    <w:p w14:paraId="5509BE51">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14:paraId="0C50DE64">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14:paraId="01A5EF07">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14:paraId="57804606">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14:paraId="040CF421">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14:paraId="2310C348">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5C717E3"/>
    <w:rsid w:val="06C420AD"/>
    <w:rsid w:val="0A3D797F"/>
    <w:rsid w:val="0DAE46EF"/>
    <w:rsid w:val="0DB25F8E"/>
    <w:rsid w:val="0DF35ECE"/>
    <w:rsid w:val="144C4E5C"/>
    <w:rsid w:val="150B1D9F"/>
    <w:rsid w:val="177E3384"/>
    <w:rsid w:val="1AC55A34"/>
    <w:rsid w:val="26B40B71"/>
    <w:rsid w:val="27441EF5"/>
    <w:rsid w:val="29031048"/>
    <w:rsid w:val="2F8860C3"/>
    <w:rsid w:val="309B3A74"/>
    <w:rsid w:val="31495B52"/>
    <w:rsid w:val="33F669FA"/>
    <w:rsid w:val="35266AB2"/>
    <w:rsid w:val="364B2418"/>
    <w:rsid w:val="36CD416B"/>
    <w:rsid w:val="38184EF1"/>
    <w:rsid w:val="39EE6F3E"/>
    <w:rsid w:val="3DF77869"/>
    <w:rsid w:val="44C302F3"/>
    <w:rsid w:val="47B32BDE"/>
    <w:rsid w:val="4811670F"/>
    <w:rsid w:val="497C0C22"/>
    <w:rsid w:val="4DB16D36"/>
    <w:rsid w:val="4DF544FC"/>
    <w:rsid w:val="52723CFA"/>
    <w:rsid w:val="55E93AE3"/>
    <w:rsid w:val="586232AD"/>
    <w:rsid w:val="5BAD5CEF"/>
    <w:rsid w:val="5D356AE8"/>
    <w:rsid w:val="624B4A69"/>
    <w:rsid w:val="62A64CBA"/>
    <w:rsid w:val="677603E0"/>
    <w:rsid w:val="69284779"/>
    <w:rsid w:val="6EC1476E"/>
    <w:rsid w:val="762F50EB"/>
    <w:rsid w:val="77352389"/>
    <w:rsid w:val="7E154C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6639</Words>
  <Characters>7309</Characters>
  <TotalTime>4</TotalTime>
  <ScaleCrop>false</ScaleCrop>
  <LinksUpToDate>false</LinksUpToDate>
  <CharactersWithSpaces>7316</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2026-08-21T08:13:00Z</dcterms:created>
  <dc:creator>Lenovo</dc:creator>
  <cp:lastModifiedBy>雨。</cp:lastModifiedBy>
  <dcterms:modified xsi:type="dcterms:W3CDTF">2026-08-31T04:16:53Z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2CE2C47009BB4733A76A36856BB9DA84_13</vt:lpwstr>
  </property>
  <property fmtid="{D5CDD505-2E9C-101B-9397-08002B2CF9AE}" pid="4" name="KSOTemplateDocerSaveRecord">
    <vt:lpwstr>eyJoZGlkIjoiMjQ1ZGY5YTBhNTE3ZWQ4YmNmNTdjYjFjYjQ1MDVjMDMiLCJ1c2VySWQiOiI5NTUwNDAxMjcifQ==</vt:lpwstr>
  </property>
</Properties>
</file>