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D4DEE">
      <w:pPr>
        <w:keepNext w:val="0"/>
        <w:keepLines w:val="0"/>
        <w:pageBreakBefore w:val="0"/>
        <w:kinsoku/>
        <w:wordWrap/>
        <w:overflowPunct/>
        <w:topLinePunct w:val="0"/>
        <w:autoSpaceDE/>
        <w:autoSpaceDN/>
        <w:bidi w:val="0"/>
        <w:adjustRightInd/>
        <w:snapToGrid/>
        <w:spacing w:line="240" w:lineRule="auto"/>
        <w:textAlignment w:val="auto"/>
        <w:rPr>
          <w:rFonts w:ascii="宋体" w:eastAsia="宋体"/>
          <w:sz w:val="32"/>
          <w:szCs w:val="32"/>
        </w:rPr>
      </w:pPr>
    </w:p>
    <w:p w14:paraId="148CC7AD">
      <w:pPr>
        <w:keepNext w:val="0"/>
        <w:keepLines w:val="0"/>
        <w:pageBreakBefore w:val="0"/>
        <w:kinsoku/>
        <w:wordWrap/>
        <w:overflowPunct/>
        <w:topLinePunct w:val="0"/>
        <w:autoSpaceDE/>
        <w:autoSpaceDN/>
        <w:bidi w:val="0"/>
        <w:adjustRightInd/>
        <w:snapToGrid/>
        <w:spacing w:line="240" w:lineRule="auto"/>
        <w:textAlignment w:val="auto"/>
        <w:rPr>
          <w:rFonts w:ascii="宋体" w:eastAsia="宋体"/>
          <w:sz w:val="44"/>
          <w:szCs w:val="44"/>
        </w:rPr>
      </w:pPr>
    </w:p>
    <w:p w14:paraId="793C8072">
      <w:pPr>
        <w:keepNext w:val="0"/>
        <w:keepLines w:val="0"/>
        <w:pageBreakBefore w:val="0"/>
        <w:kinsoku/>
        <w:wordWrap/>
        <w:overflowPunct/>
        <w:topLinePunct w:val="0"/>
        <w:autoSpaceDE/>
        <w:autoSpaceDN/>
        <w:bidi w:val="0"/>
        <w:adjustRightInd/>
        <w:snapToGrid/>
        <w:spacing w:line="240" w:lineRule="auto"/>
        <w:textAlignment w:val="auto"/>
        <w:rPr>
          <w:rFonts w:ascii="宋体" w:eastAsia="宋体"/>
          <w:sz w:val="44"/>
          <w:szCs w:val="44"/>
        </w:rPr>
      </w:pPr>
    </w:p>
    <w:p w14:paraId="719B68D9">
      <w:pPr>
        <w:keepNext w:val="0"/>
        <w:keepLines w:val="0"/>
        <w:pageBreakBefore w:val="0"/>
        <w:kinsoku/>
        <w:wordWrap/>
        <w:overflowPunct/>
        <w:topLinePunct w:val="0"/>
        <w:autoSpaceDE/>
        <w:autoSpaceDN/>
        <w:bidi w:val="0"/>
        <w:adjustRightInd/>
        <w:snapToGrid/>
        <w:spacing w:line="240" w:lineRule="auto"/>
        <w:textAlignment w:val="auto"/>
        <w:rPr>
          <w:rFonts w:ascii="宋体" w:eastAsia="宋体"/>
          <w:sz w:val="44"/>
          <w:szCs w:val="44"/>
        </w:rPr>
      </w:pPr>
    </w:p>
    <w:p w14:paraId="417F5D52">
      <w:pPr>
        <w:keepNext w:val="0"/>
        <w:keepLines w:val="0"/>
        <w:pageBreakBefore w:val="0"/>
        <w:kinsoku/>
        <w:wordWrap/>
        <w:overflowPunct/>
        <w:topLinePunct w:val="0"/>
        <w:autoSpaceDE/>
        <w:autoSpaceDN/>
        <w:bidi w:val="0"/>
        <w:adjustRightInd/>
        <w:snapToGrid/>
        <w:spacing w:line="240" w:lineRule="auto"/>
        <w:jc w:val="center"/>
        <w:textAlignment w:val="auto"/>
        <w:outlineLvl w:val="0"/>
        <w:rPr>
          <w:rFonts w:ascii="宋体" w:eastAsia="黑体"/>
          <w:sz w:val="44"/>
          <w:szCs w:val="44"/>
        </w:rPr>
      </w:pPr>
      <w:r>
        <w:rPr>
          <w:rFonts w:ascii="宋体" w:eastAsia="黑体"/>
          <w:sz w:val="44"/>
          <w:szCs w:val="44"/>
        </w:rPr>
        <w:t>新疆维吾尔自治区科技项目服务中心</w:t>
      </w:r>
    </w:p>
    <w:p w14:paraId="33838B7B">
      <w:pPr>
        <w:keepNext w:val="0"/>
        <w:keepLines w:val="0"/>
        <w:pageBreakBefore w:val="0"/>
        <w:kinsoku/>
        <w:wordWrap/>
        <w:overflowPunct/>
        <w:topLinePunct w:val="0"/>
        <w:autoSpaceDE/>
        <w:autoSpaceDN/>
        <w:bidi w:val="0"/>
        <w:adjustRightInd/>
        <w:snapToGrid/>
        <w:spacing w:line="240" w:lineRule="auto"/>
        <w:jc w:val="center"/>
        <w:textAlignment w:val="auto"/>
        <w:outlineLvl w:val="0"/>
        <w:rPr>
          <w:rFonts w:ascii="黑体" w:eastAsia="黑体"/>
          <w:sz w:val="44"/>
          <w:szCs w:val="44"/>
        </w:rPr>
      </w:pPr>
      <w:r>
        <w:rPr>
          <w:rFonts w:ascii="黑体" w:eastAsia="黑体"/>
          <w:sz w:val="44"/>
          <w:szCs w:val="44"/>
        </w:rPr>
        <w:t>2025年度部门决算公开说明</w:t>
      </w:r>
    </w:p>
    <w:p w14:paraId="01F37369">
      <w:pPr>
        <w:keepNext w:val="0"/>
        <w:keepLines w:val="0"/>
        <w:pageBreakBefore w:val="0"/>
        <w:kinsoku/>
        <w:wordWrap/>
        <w:overflowPunct/>
        <w:topLinePunct w:val="0"/>
        <w:autoSpaceDE/>
        <w:autoSpaceDN/>
        <w:bidi w:val="0"/>
        <w:adjustRightInd/>
        <w:snapToGrid/>
        <w:spacing w:line="240" w:lineRule="auto"/>
        <w:textAlignment w:val="auto"/>
      </w:pPr>
      <w:r>
        <w:rPr>
          <w:sz w:val="0"/>
          <w:szCs w:val="0"/>
        </w:rPr>
        <w:br w:type="page"/>
      </w:r>
    </w:p>
    <w:p w14:paraId="5275589F">
      <w:pPr>
        <w:keepNext w:val="0"/>
        <w:keepLines w:val="0"/>
        <w:pageBreakBefore w:val="0"/>
        <w:kinsoku/>
        <w:wordWrap/>
        <w:overflowPunct/>
        <w:topLinePunct w:val="0"/>
        <w:autoSpaceDE/>
        <w:autoSpaceDN/>
        <w:bidi w:val="0"/>
        <w:adjustRightInd/>
        <w:snapToGrid/>
        <w:spacing w:line="240" w:lineRule="auto"/>
        <w:jc w:val="center"/>
        <w:textAlignment w:val="auto"/>
        <w:rPr>
          <w:rFonts w:ascii="黑体" w:eastAsia="黑体"/>
          <w:sz w:val="32"/>
          <w:szCs w:val="32"/>
        </w:rPr>
      </w:pPr>
      <w:r>
        <w:rPr>
          <w:rFonts w:ascii="黑体" w:eastAsia="黑体"/>
          <w:b/>
          <w:sz w:val="32"/>
          <w:szCs w:val="32"/>
        </w:rPr>
        <w:t>目 录</w:t>
      </w:r>
    </w:p>
    <w:p w14:paraId="035C00B5">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b/>
          <w:sz w:val="32"/>
          <w:szCs w:val="32"/>
        </w:rPr>
        <w:t>第一部分单位概况</w:t>
      </w:r>
    </w:p>
    <w:p w14:paraId="5951C2B7">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一、主要职能</w:t>
      </w:r>
    </w:p>
    <w:p w14:paraId="26FB3056">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二、机构设置</w:t>
      </w:r>
    </w:p>
    <w:p w14:paraId="2D5D1762">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b/>
          <w:sz w:val="32"/>
          <w:szCs w:val="32"/>
        </w:rPr>
        <w:t>第二部分 部门决算情况说明</w:t>
      </w:r>
    </w:p>
    <w:p w14:paraId="0FDCE881">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一、收入支出决算总体情况说明</w:t>
      </w:r>
    </w:p>
    <w:p w14:paraId="04951B09">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二、收入决算情况说明</w:t>
      </w:r>
    </w:p>
    <w:p w14:paraId="74D3290E">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三、支出决算情况说明</w:t>
      </w:r>
    </w:p>
    <w:p w14:paraId="4F719E50">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四、财政拨款收入支出决算总体情况说明</w:t>
      </w:r>
    </w:p>
    <w:p w14:paraId="7BF07DCD">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五、一般公共预算财政拨款支出决算情况说明</w:t>
      </w:r>
    </w:p>
    <w:p w14:paraId="68AACFB5">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（一）一般公共预算财政拨款支出决算总体情况</w:t>
      </w:r>
    </w:p>
    <w:p w14:paraId="5C6DD0E3">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（二）一般公共预算财政拨款支出决算结构情况</w:t>
      </w:r>
    </w:p>
    <w:p w14:paraId="2D512830">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（三）一般公共预算财政拨款支出决算具体情况</w:t>
      </w:r>
    </w:p>
    <w:p w14:paraId="1249E124">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六、一般公共预算财政拨款基本支出决算情况说明</w:t>
      </w:r>
    </w:p>
    <w:p w14:paraId="074A06B7">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七、政府性基金预算财政拨款收入支出决算情况说明</w:t>
      </w:r>
    </w:p>
    <w:p w14:paraId="7C0A1833">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八、国有资本经营预算财政拨款收入支出决算情况说明</w:t>
      </w:r>
    </w:p>
    <w:p w14:paraId="35798B5B">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九、财政拨款“三公”经费支出决算情况说明</w:t>
      </w:r>
    </w:p>
    <w:p w14:paraId="727E96FA">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十、其他重要事项的情况说明</w:t>
      </w:r>
    </w:p>
    <w:p w14:paraId="47F0AF1E">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（一）机关运行经费及公用经费支出情况</w:t>
      </w:r>
    </w:p>
    <w:p w14:paraId="21AED510">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（二）政府采购情况</w:t>
      </w:r>
    </w:p>
    <w:p w14:paraId="511796E8">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（三）国有资产占用情况说明</w:t>
      </w:r>
    </w:p>
    <w:p w14:paraId="0B01A889">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十一、预算绩效的情况说明</w:t>
      </w:r>
    </w:p>
    <w:p w14:paraId="540D9061">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十二、其他需说明的事项</w:t>
      </w:r>
    </w:p>
    <w:p w14:paraId="4620E5FA">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b/>
          <w:sz w:val="32"/>
          <w:szCs w:val="32"/>
        </w:rPr>
        <w:t>第三部分 专业名词解释</w:t>
      </w:r>
    </w:p>
    <w:p w14:paraId="0B2C59F4">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b/>
          <w:sz w:val="32"/>
          <w:szCs w:val="32"/>
        </w:rPr>
        <w:t>第四部分 部门决算报表（见附表）</w:t>
      </w:r>
    </w:p>
    <w:p w14:paraId="734206E9">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一、《收入支出决算总表》</w:t>
      </w:r>
    </w:p>
    <w:p w14:paraId="435E463C">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二、《收入决算表》</w:t>
      </w:r>
    </w:p>
    <w:p w14:paraId="6ED2EA3E">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三、《支出决算表》</w:t>
      </w:r>
    </w:p>
    <w:p w14:paraId="2699A96F">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四、《财政拨款收入支出决算总表》</w:t>
      </w:r>
    </w:p>
    <w:p w14:paraId="3D740C4C">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五、《一般公共预算财政拨款支出决算表》</w:t>
      </w:r>
    </w:p>
    <w:p w14:paraId="69DA0193">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六、《一般公共预算财政拨款基本支出决算表》</w:t>
      </w:r>
    </w:p>
    <w:p w14:paraId="304F9FC6">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七、《政府性基金预算财政拨款收入支出决算表》</w:t>
      </w:r>
    </w:p>
    <w:p w14:paraId="2E12972E">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八、《国有资本经营预算财政拨款收入支出决算表》</w:t>
      </w:r>
    </w:p>
    <w:p w14:paraId="66CD789B">
      <w:pPr>
        <w:keepNext w:val="0"/>
        <w:keepLines w:val="0"/>
        <w:pageBreakBefore w:val="0"/>
        <w:kinsoku/>
        <w:wordWrap/>
        <w:overflowPunct/>
        <w:topLinePunct w:val="0"/>
        <w:autoSpaceDE/>
        <w:autoSpaceDN/>
        <w:bidi w:val="0"/>
        <w:adjustRightInd/>
        <w:snapToGrid/>
        <w:spacing w:line="240" w:lineRule="auto"/>
        <w:textAlignment w:val="auto"/>
        <w:rPr>
          <w:rFonts w:ascii="仿宋_GB2312" w:eastAsia="仿宋_GB2312"/>
          <w:sz w:val="32"/>
          <w:szCs w:val="32"/>
        </w:rPr>
      </w:pPr>
      <w:r>
        <w:rPr>
          <w:rFonts w:ascii="仿宋_GB2312" w:eastAsia="仿宋_GB2312"/>
          <w:sz w:val="32"/>
          <w:szCs w:val="32"/>
        </w:rPr>
        <w:t>九、《财政拨款“三公”经费支出决算表》</w:t>
      </w:r>
    </w:p>
    <w:p w14:paraId="3F5568AE">
      <w:pPr>
        <w:keepNext w:val="0"/>
        <w:keepLines w:val="0"/>
        <w:pageBreakBefore w:val="0"/>
        <w:kinsoku/>
        <w:wordWrap/>
        <w:overflowPunct/>
        <w:topLinePunct w:val="0"/>
        <w:autoSpaceDE/>
        <w:autoSpaceDN/>
        <w:bidi w:val="0"/>
        <w:adjustRightInd/>
        <w:snapToGrid/>
        <w:spacing w:line="240" w:lineRule="auto"/>
        <w:textAlignment w:val="auto"/>
      </w:pPr>
      <w:r>
        <w:rPr>
          <w:sz w:val="0"/>
          <w:szCs w:val="0"/>
        </w:rPr>
        <w:br w:type="page"/>
      </w:r>
    </w:p>
    <w:p w14:paraId="7FDC6EE7">
      <w:pPr>
        <w:widowControl w:val="0"/>
        <w:spacing w:after="0" w:line="600" w:lineRule="exact"/>
        <w:jc w:val="center"/>
        <w:outlineLvl w:val="0"/>
        <w:rPr>
          <w:rFonts w:hint="eastAsia" w:ascii="黑体" w:hAnsi="黑体" w:eastAsia="黑体" w:cs="宋体"/>
          <w:bCs/>
          <w:kern w:val="0"/>
          <w:sz w:val="32"/>
          <w:szCs w:val="32"/>
          <w:lang w:eastAsia="zh-CN"/>
        </w:rPr>
      </w:pPr>
      <w:r>
        <w:rPr>
          <w:rFonts w:hint="eastAsia" w:ascii="黑体" w:hAnsi="黑体" w:eastAsia="黑体" w:cs="宋体"/>
          <w:bCs/>
          <w:kern w:val="0"/>
          <w:sz w:val="32"/>
          <w:szCs w:val="32"/>
          <w:lang w:eastAsia="zh-CN"/>
        </w:rPr>
        <w:t>第一部分单位概况</w:t>
      </w:r>
    </w:p>
    <w:p w14:paraId="095703CA">
      <w:pPr>
        <w:widowControl w:val="0"/>
        <w:spacing w:after="0" w:line="600" w:lineRule="exact"/>
        <w:ind w:firstLine="640" w:firstLineChars="200"/>
        <w:jc w:val="both"/>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一、主要职能</w:t>
      </w:r>
    </w:p>
    <w:p w14:paraId="1152A6A5">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仿宋_GB2312" w:eastAsia="仿宋_GB2312" w:cs="仿宋_GB2312"/>
          <w:b w:val="0"/>
          <w:bCs/>
          <w:kern w:val="0"/>
          <w:sz w:val="32"/>
          <w:szCs w:val="32"/>
          <w:highlight w:val="none"/>
          <w:lang w:eastAsia="zh-CN"/>
        </w:rPr>
      </w:pPr>
      <w:r>
        <w:rPr>
          <w:rFonts w:hint="eastAsia" w:ascii="仿宋_GB2312" w:hAnsi="仿宋_GB2312" w:eastAsia="仿宋_GB2312" w:cs="仿宋_GB2312"/>
          <w:b w:val="0"/>
          <w:bCs/>
          <w:kern w:val="0"/>
          <w:sz w:val="32"/>
          <w:szCs w:val="32"/>
          <w:highlight w:val="none"/>
          <w:lang w:eastAsia="zh-CN"/>
        </w:rPr>
        <w:t>新疆维吾尔自治区科技项目服务中心为自治区科技厅所属公益二类事业单位，为科技项目提供技术服务。自治区科技项目的受理；专家评审和科技项目检查、评估、考核；对外科技交流与合作组织开展；科技成果引进、推广、转化。</w:t>
      </w:r>
    </w:p>
    <w:p w14:paraId="17FC8AC8">
      <w:pPr>
        <w:widowControl w:val="0"/>
        <w:spacing w:after="0" w:line="600" w:lineRule="exact"/>
        <w:ind w:firstLine="640" w:firstLineChars="200"/>
        <w:jc w:val="both"/>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二、机构设置</w:t>
      </w:r>
    </w:p>
    <w:p w14:paraId="65C9CBED">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仿宋_GB2312" w:eastAsia="仿宋_GB2312" w:cs="仿宋_GB2312"/>
          <w:b w:val="0"/>
          <w:bCs/>
          <w:kern w:val="0"/>
          <w:sz w:val="32"/>
          <w:szCs w:val="32"/>
          <w:highlight w:val="none"/>
          <w:lang w:val="en-US" w:eastAsia="zh-CN"/>
        </w:rPr>
      </w:pPr>
      <w:r>
        <w:rPr>
          <w:rFonts w:hint="eastAsia" w:ascii="仿宋_GB2312" w:hAnsi="仿宋_GB2312" w:eastAsia="仿宋_GB2312" w:cs="仿宋_GB2312"/>
          <w:b w:val="0"/>
          <w:bCs/>
          <w:kern w:val="0"/>
          <w:sz w:val="32"/>
          <w:szCs w:val="32"/>
          <w:highlight w:val="none"/>
          <w:lang w:val="en-US" w:eastAsia="zh-CN"/>
        </w:rPr>
        <w:t>新疆维吾尔自治区科技项目服务中心无下属预算单位。</w:t>
      </w:r>
    </w:p>
    <w:p w14:paraId="42F2D274">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kern w:val="2"/>
          <w:sz w:val="32"/>
          <w:szCs w:val="32"/>
          <w:lang w:eastAsia="zh-CN"/>
        </w:rPr>
        <w:br w:type="page"/>
      </w:r>
    </w:p>
    <w:p w14:paraId="2F4995C6">
      <w:pPr>
        <w:widowControl w:val="0"/>
        <w:spacing w:after="0" w:line="600" w:lineRule="exact"/>
        <w:ind w:firstLine="640" w:firstLineChars="200"/>
        <w:jc w:val="center"/>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第二部分 部门决算情况说明</w:t>
      </w:r>
    </w:p>
    <w:p w14:paraId="7270550F">
      <w:pPr>
        <w:widowControl w:val="0"/>
        <w:spacing w:after="0" w:line="600" w:lineRule="exact"/>
        <w:ind w:firstLine="640" w:firstLineChars="200"/>
        <w:jc w:val="both"/>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一、收入支出决算总体情况说明</w:t>
      </w:r>
    </w:p>
    <w:p w14:paraId="5E36466A">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bCs/>
          <w:spacing w:val="0"/>
          <w:kern w:val="2"/>
          <w:sz w:val="32"/>
          <w:szCs w:val="32"/>
          <w:highlight w:val="none"/>
          <w:lang w:eastAsia="zh-CN"/>
        </w:rPr>
        <w:t>2025年度收入总计2,133.79万元，</w:t>
      </w:r>
      <w:r>
        <w:rPr>
          <w:rFonts w:hint="eastAsia" w:ascii="仿宋_GB2312" w:hAnsi="Times New Roman" w:eastAsia="仿宋_GB2312" w:cs="Times New Roman"/>
          <w:b w:val="0"/>
          <w:bCs w:val="0"/>
          <w:spacing w:val="0"/>
          <w:kern w:val="2"/>
          <w:sz w:val="32"/>
          <w:szCs w:val="32"/>
          <w:highlight w:val="none"/>
          <w:lang w:val="en-US" w:eastAsia="zh-CN"/>
        </w:rPr>
        <w:t>其</w:t>
      </w:r>
      <w:r>
        <w:rPr>
          <w:rFonts w:hint="eastAsia" w:ascii="仿宋_GB2312" w:hAnsi="Times New Roman" w:eastAsia="仿宋_GB2312" w:cs="Times New Roman"/>
          <w:kern w:val="2"/>
          <w:sz w:val="32"/>
          <w:szCs w:val="32"/>
          <w:lang w:val="en-US" w:eastAsia="zh-CN"/>
        </w:rPr>
        <w:t>中：本年收入合计1,633.38万元，使用非财政拨款结余（含专用结余）0.00万元，年初结转和结余500.41万元。</w:t>
      </w:r>
    </w:p>
    <w:p w14:paraId="49A2A764">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Times New Roman" w:eastAsia="仿宋_GB2312" w:cs="Times New Roman"/>
          <w:b w:val="0"/>
          <w:bCs w:val="0"/>
          <w:spacing w:val="0"/>
          <w:kern w:val="2"/>
          <w:sz w:val="32"/>
          <w:szCs w:val="32"/>
          <w:highlight w:val="none"/>
          <w:lang w:val="en-US" w:eastAsia="zh-CN"/>
        </w:rPr>
      </w:pPr>
      <w:r>
        <w:rPr>
          <w:rFonts w:hint="eastAsia" w:ascii="仿宋_GB2312" w:hAnsi="Times New Roman" w:eastAsia="仿宋_GB2312" w:cs="Times New Roman"/>
          <w:b/>
          <w:bCs/>
          <w:spacing w:val="0"/>
          <w:kern w:val="2"/>
          <w:sz w:val="32"/>
          <w:szCs w:val="32"/>
          <w:highlight w:val="none"/>
          <w:lang w:eastAsia="zh-CN"/>
        </w:rPr>
        <w:t>2025年度支出总计2,133.79万元，</w:t>
      </w:r>
      <w:r>
        <w:rPr>
          <w:rFonts w:hint="eastAsia" w:ascii="仿宋_GB2312" w:hAnsi="Times New Roman" w:eastAsia="仿宋_GB2312" w:cs="Times New Roman"/>
          <w:b w:val="0"/>
          <w:bCs w:val="0"/>
          <w:spacing w:val="0"/>
          <w:kern w:val="2"/>
          <w:sz w:val="32"/>
          <w:szCs w:val="32"/>
          <w:highlight w:val="none"/>
          <w:lang w:val="en-US" w:eastAsia="zh-CN"/>
        </w:rPr>
        <w:t>其中：本年支出合计1,504.39万元，结余分配41.22万元，年末结转和结余588.18万元。</w:t>
      </w:r>
    </w:p>
    <w:p w14:paraId="4E51B807">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Times New Roman" w:eastAsia="仿宋_GB2312" w:cs="Times New Roman"/>
          <w:b/>
          <w:bCs/>
          <w:spacing w:val="0"/>
          <w:kern w:val="2"/>
          <w:sz w:val="32"/>
          <w:szCs w:val="32"/>
          <w:highlight w:val="none"/>
          <w:lang w:eastAsia="zh-CN"/>
        </w:rPr>
      </w:pPr>
      <w:r>
        <w:rPr>
          <w:rFonts w:hint="eastAsia" w:ascii="仿宋_GB2312" w:hAnsi="Times New Roman" w:eastAsia="仿宋_GB2312" w:cs="Times New Roman"/>
          <w:b/>
          <w:bCs/>
          <w:spacing w:val="0"/>
          <w:kern w:val="2"/>
          <w:sz w:val="32"/>
          <w:szCs w:val="32"/>
          <w:highlight w:val="none"/>
          <w:lang w:eastAsia="zh-CN"/>
        </w:rPr>
        <w:t>收入支出总体与上年相比，</w:t>
      </w:r>
      <w:r>
        <w:rPr>
          <w:rFonts w:hint="eastAsia" w:ascii="仿宋_GB2312" w:hAnsi="Times New Roman" w:eastAsia="仿宋_GB2312" w:cs="Times New Roman"/>
          <w:b w:val="0"/>
          <w:bCs w:val="0"/>
          <w:spacing w:val="0"/>
          <w:kern w:val="2"/>
          <w:sz w:val="32"/>
          <w:szCs w:val="32"/>
          <w:highlight w:val="none"/>
          <w:lang w:eastAsia="zh-CN"/>
        </w:rPr>
        <w:t>增加55.27万元，增长2.66%，主要原因是：本单位较上年增加科技计划管理费。</w:t>
      </w:r>
    </w:p>
    <w:p w14:paraId="2E54477A">
      <w:pPr>
        <w:widowControl w:val="0"/>
        <w:spacing w:after="0" w:line="600" w:lineRule="exact"/>
        <w:ind w:firstLine="640" w:firstLineChars="200"/>
        <w:jc w:val="both"/>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二、收入决算情况说明</w:t>
      </w:r>
    </w:p>
    <w:p w14:paraId="4E4ABD71">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Times New Roman" w:eastAsia="仿宋_GB2312" w:cs="Times New Roman"/>
          <w:kern w:val="2"/>
          <w:sz w:val="32"/>
          <w:szCs w:val="32"/>
          <w:lang w:eastAsia="zh-CN"/>
        </w:rPr>
      </w:pPr>
      <w:r>
        <w:rPr>
          <w:rFonts w:hint="eastAsia" w:ascii="仿宋_GB2312" w:hAnsi="Times New Roman" w:eastAsia="仿宋_GB2312" w:cs="Times New Roman"/>
          <w:b/>
          <w:bCs/>
          <w:kern w:val="2"/>
          <w:sz w:val="32"/>
          <w:szCs w:val="32"/>
          <w:highlight w:val="none"/>
          <w:lang w:eastAsia="zh-CN"/>
        </w:rPr>
        <w:t>本年收入1,633.38万元，</w:t>
      </w:r>
      <w:r>
        <w:rPr>
          <w:rFonts w:hint="eastAsia" w:ascii="仿宋_GB2312" w:hAnsi="Times New Roman" w:eastAsia="仿宋_GB2312" w:cs="Times New Roman"/>
          <w:b w:val="0"/>
          <w:bCs w:val="0"/>
          <w:kern w:val="2"/>
          <w:sz w:val="32"/>
          <w:szCs w:val="32"/>
          <w:highlight w:val="none"/>
          <w:lang w:eastAsia="zh-CN"/>
        </w:rPr>
        <w:t>其中：财政拨款收入1,268.56万元,占77.6</w:t>
      </w:r>
      <w:r>
        <w:rPr>
          <w:rFonts w:hint="eastAsia" w:ascii="仿宋_GB2312" w:hAnsi="Times New Roman" w:eastAsia="仿宋_GB2312" w:cs="Times New Roman"/>
          <w:kern w:val="2"/>
          <w:sz w:val="32"/>
          <w:szCs w:val="32"/>
          <w:lang w:eastAsia="zh-CN"/>
        </w:rPr>
        <w:t>6%；上级补助收入0.00万元,占0.00%；事业收入201.39万元，占12.33%；经营收入0.00万元,占0.00%；附属单位上缴收入0.00万元，占0.00%；其他收入163.43万元，占10.01%。</w:t>
      </w:r>
    </w:p>
    <w:p w14:paraId="521A381C">
      <w:pPr>
        <w:widowControl w:val="0"/>
        <w:spacing w:after="0" w:line="600" w:lineRule="exact"/>
        <w:ind w:firstLine="640" w:firstLineChars="200"/>
        <w:jc w:val="both"/>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三、支出决算情况说明</w:t>
      </w:r>
    </w:p>
    <w:p w14:paraId="6741E8A8">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Times New Roman" w:eastAsia="仿宋_GB2312" w:cs="Times New Roman"/>
          <w:b w:val="0"/>
          <w:bCs w:val="0"/>
          <w:kern w:val="2"/>
          <w:sz w:val="32"/>
          <w:szCs w:val="32"/>
          <w:highlight w:val="none"/>
          <w:lang w:eastAsia="zh-CN"/>
        </w:rPr>
      </w:pPr>
      <w:r>
        <w:rPr>
          <w:rFonts w:hint="eastAsia" w:ascii="仿宋_GB2312" w:hAnsi="Times New Roman" w:eastAsia="仿宋_GB2312" w:cs="Times New Roman"/>
          <w:b/>
          <w:bCs/>
          <w:kern w:val="2"/>
          <w:sz w:val="32"/>
          <w:szCs w:val="32"/>
          <w:highlight w:val="none"/>
          <w:lang w:eastAsia="zh-CN"/>
        </w:rPr>
        <w:t>本年支出1,504.39万元，</w:t>
      </w:r>
      <w:r>
        <w:rPr>
          <w:rFonts w:hint="eastAsia" w:ascii="仿宋_GB2312" w:hAnsi="Times New Roman" w:eastAsia="仿宋_GB2312" w:cs="Times New Roman"/>
          <w:b w:val="0"/>
          <w:bCs w:val="0"/>
          <w:kern w:val="2"/>
          <w:sz w:val="32"/>
          <w:szCs w:val="32"/>
          <w:highlight w:val="none"/>
          <w:lang w:eastAsia="zh-CN"/>
        </w:rPr>
        <w:t>其中：基本支出1,023.29万元，占68.02%；项目支出481.10万元，占31.98%；上缴上级支出0.00万元，占0.00%；经营支出0.00万元，占0.00%；对附属单位补助支出0.00万元，占0.00%。</w:t>
      </w:r>
    </w:p>
    <w:p w14:paraId="314EA6D1">
      <w:pPr>
        <w:widowControl w:val="0"/>
        <w:spacing w:after="0" w:line="600" w:lineRule="exact"/>
        <w:ind w:firstLine="640" w:firstLineChars="200"/>
        <w:jc w:val="both"/>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四、财政拨款收入支出决算总体情况说明</w:t>
      </w:r>
    </w:p>
    <w:p w14:paraId="229A4415">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Times New Roman" w:eastAsia="仿宋_GB2312" w:cs="Times New Roman"/>
          <w:b/>
          <w:bCs/>
          <w:spacing w:val="0"/>
          <w:kern w:val="2"/>
          <w:sz w:val="32"/>
          <w:szCs w:val="32"/>
          <w:highlight w:val="none"/>
          <w:lang w:eastAsia="zh-CN"/>
        </w:rPr>
      </w:pPr>
      <w:r>
        <w:rPr>
          <w:rFonts w:hint="eastAsia" w:ascii="仿宋_GB2312" w:hAnsi="Times New Roman" w:eastAsia="仿宋_GB2312" w:cs="Times New Roman"/>
          <w:b/>
          <w:bCs/>
          <w:spacing w:val="0"/>
          <w:kern w:val="2"/>
          <w:sz w:val="32"/>
          <w:szCs w:val="32"/>
          <w:highlight w:val="none"/>
          <w:lang w:eastAsia="zh-CN"/>
        </w:rPr>
        <w:t>2025年度财政拨款收入总计1,268.56万元，</w:t>
      </w:r>
      <w:r>
        <w:rPr>
          <w:rFonts w:hint="eastAsia" w:ascii="仿宋_GB2312" w:hAnsi="Times New Roman" w:eastAsia="仿宋_GB2312" w:cs="Times New Roman"/>
          <w:b w:val="0"/>
          <w:bCs w:val="0"/>
          <w:spacing w:val="0"/>
          <w:kern w:val="2"/>
          <w:sz w:val="32"/>
          <w:szCs w:val="32"/>
          <w:highlight w:val="none"/>
          <w:lang w:val="en-US" w:eastAsia="zh-CN"/>
        </w:rPr>
        <w:t>其中：年初财政拨款结转和结余0.00万元，本年财政拨款收入1,268.56万元。</w:t>
      </w:r>
      <w:r>
        <w:rPr>
          <w:rFonts w:hint="eastAsia" w:ascii="仿宋_GB2312" w:hAnsi="Times New Roman" w:eastAsia="仿宋_GB2312" w:cs="Times New Roman"/>
          <w:b/>
          <w:bCs/>
          <w:spacing w:val="0"/>
          <w:kern w:val="2"/>
          <w:sz w:val="32"/>
          <w:szCs w:val="32"/>
          <w:highlight w:val="none"/>
          <w:lang w:eastAsia="zh-CN"/>
        </w:rPr>
        <w:t>财政拨款支出总计1,268.56万元，</w:t>
      </w:r>
      <w:r>
        <w:rPr>
          <w:rFonts w:hint="eastAsia" w:ascii="仿宋_GB2312" w:hAnsi="Times New Roman" w:eastAsia="仿宋_GB2312" w:cs="Times New Roman"/>
          <w:b w:val="0"/>
          <w:bCs w:val="0"/>
          <w:spacing w:val="0"/>
          <w:kern w:val="2"/>
          <w:sz w:val="32"/>
          <w:szCs w:val="32"/>
          <w:highlight w:val="none"/>
          <w:lang w:val="en-US" w:eastAsia="zh-CN"/>
        </w:rPr>
        <w:t>其中：年末财政拨款结转和结余0.00万元，本年财政拨款支出1,268.56万元。</w:t>
      </w:r>
    </w:p>
    <w:p w14:paraId="340E14F9">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仿宋_GB2312" w:eastAsia="仿宋_GB2312" w:cs="仿宋_GB2312"/>
          <w:b/>
          <w:bCs w:val="0"/>
          <w:kern w:val="0"/>
          <w:sz w:val="32"/>
          <w:szCs w:val="32"/>
          <w:highlight w:val="none"/>
          <w:lang w:eastAsia="zh-CN"/>
        </w:rPr>
      </w:pPr>
      <w:r>
        <w:rPr>
          <w:rFonts w:hint="eastAsia" w:ascii="仿宋_GB2312" w:hAnsi="仿宋_GB2312" w:eastAsia="仿宋_GB2312" w:cs="仿宋_GB2312"/>
          <w:b/>
          <w:bCs w:val="0"/>
          <w:kern w:val="0"/>
          <w:sz w:val="32"/>
          <w:szCs w:val="32"/>
          <w:highlight w:val="none"/>
          <w:lang w:eastAsia="zh-CN"/>
        </w:rPr>
        <w:t>财政拨款收入支出总体与上年相比，</w:t>
      </w:r>
      <w:r>
        <w:rPr>
          <w:rFonts w:hint="eastAsia" w:ascii="仿宋_GB2312" w:hAnsi="仿宋_GB2312" w:eastAsia="仿宋_GB2312" w:cs="仿宋_GB2312"/>
          <w:b w:val="0"/>
          <w:bCs/>
          <w:kern w:val="0"/>
          <w:sz w:val="32"/>
          <w:szCs w:val="32"/>
          <w:highlight w:val="none"/>
          <w:lang w:eastAsia="zh-CN"/>
        </w:rPr>
        <w:t>增加128.33万元，增长11.25%，主要原因是：本单位较上年增加科技计划管理费。</w:t>
      </w:r>
      <w:r>
        <w:rPr>
          <w:rFonts w:hint="eastAsia" w:ascii="仿宋_GB2312" w:hAnsi="仿宋_GB2312" w:eastAsia="仿宋_GB2312" w:cs="仿宋_GB2312"/>
          <w:b/>
          <w:bCs w:val="0"/>
          <w:kern w:val="0"/>
          <w:sz w:val="32"/>
          <w:szCs w:val="32"/>
          <w:highlight w:val="none"/>
          <w:lang w:eastAsia="zh-CN"/>
        </w:rPr>
        <w:t>与年初预算相比，</w:t>
      </w:r>
      <w:r>
        <w:rPr>
          <w:rFonts w:hint="eastAsia" w:ascii="仿宋_GB2312" w:hAnsi="仿宋_GB2312" w:eastAsia="仿宋_GB2312" w:cs="仿宋_GB2312"/>
          <w:b w:val="0"/>
          <w:bCs/>
          <w:kern w:val="0"/>
          <w:sz w:val="32"/>
          <w:szCs w:val="32"/>
          <w:highlight w:val="none"/>
          <w:lang w:eastAsia="zh-CN"/>
        </w:rPr>
        <w:t>年初预算数962.99万元，决算数1,268.56万元，预决算差异率31.73%，主要原因是：</w:t>
      </w:r>
      <w:r>
        <w:rPr>
          <w:rFonts w:hint="eastAsia" w:ascii="仿宋_GB2312" w:hAnsi="仿宋_GB2312" w:eastAsia="仿宋_GB2312" w:cs="仿宋_GB2312"/>
          <w:b w:val="0"/>
          <w:bCs/>
          <w:kern w:val="0"/>
          <w:sz w:val="32"/>
          <w:szCs w:val="32"/>
          <w:highlight w:val="none"/>
          <w:lang w:val="en-US" w:eastAsia="zh-CN"/>
        </w:rPr>
        <w:t>年中</w:t>
      </w:r>
      <w:r>
        <w:rPr>
          <w:rFonts w:hint="eastAsia" w:ascii="仿宋_GB2312" w:hAnsi="仿宋_GB2312" w:eastAsia="仿宋_GB2312" w:cs="仿宋_GB2312"/>
          <w:b w:val="0"/>
          <w:bCs/>
          <w:kern w:val="0"/>
          <w:sz w:val="32"/>
          <w:szCs w:val="32"/>
          <w:highlight w:val="none"/>
          <w:lang w:eastAsia="zh-CN"/>
        </w:rPr>
        <w:t>追加2025年自治区科技计划管理经费、2025年工程技术研究中心第三方综合服务管理、2025年第十二届新疆创新创业大赛工作经费、2025自治区高新技术产业开发区第三方科技服务、2025双创第三方科技综合服务管理、2025高交会项目，</w:t>
      </w:r>
      <w:r>
        <w:rPr>
          <w:rFonts w:hint="eastAsia" w:ascii="仿宋_GB2312" w:hAnsi="仿宋_GB2312" w:eastAsia="仿宋_GB2312" w:cs="仿宋_GB2312"/>
          <w:b w:val="0"/>
          <w:bCs/>
          <w:kern w:val="0"/>
          <w:sz w:val="32"/>
          <w:szCs w:val="32"/>
          <w:highlight w:val="none"/>
          <w:lang w:val="en-US" w:eastAsia="zh-CN"/>
        </w:rPr>
        <w:t>导致预决算存在差异</w:t>
      </w:r>
      <w:r>
        <w:rPr>
          <w:rFonts w:hint="eastAsia" w:ascii="仿宋_GB2312" w:hAnsi="仿宋_GB2312" w:eastAsia="仿宋_GB2312" w:cs="仿宋_GB2312"/>
          <w:b w:val="0"/>
          <w:bCs/>
          <w:kern w:val="0"/>
          <w:sz w:val="32"/>
          <w:szCs w:val="32"/>
          <w:highlight w:val="none"/>
          <w:lang w:eastAsia="zh-CN"/>
        </w:rPr>
        <w:t>。</w:t>
      </w:r>
    </w:p>
    <w:p w14:paraId="29E12400">
      <w:pPr>
        <w:widowControl w:val="0"/>
        <w:spacing w:after="0" w:line="600" w:lineRule="exact"/>
        <w:ind w:firstLine="640" w:firstLineChars="200"/>
        <w:jc w:val="both"/>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五、一般公共预算财政拨款支出决算情况说明</w:t>
      </w:r>
    </w:p>
    <w:p w14:paraId="100ACA82">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仿宋_GB2312" w:eastAsia="仿宋_GB2312" w:cs="仿宋_GB2312"/>
          <w:b w:val="0"/>
          <w:bCs/>
          <w:kern w:val="0"/>
          <w:sz w:val="32"/>
          <w:szCs w:val="32"/>
          <w:highlight w:val="none"/>
          <w:lang w:eastAsia="zh-CN"/>
        </w:rPr>
      </w:pPr>
      <w:r>
        <w:rPr>
          <w:rFonts w:hint="eastAsia" w:ascii="仿宋_GB2312" w:hAnsi="仿宋_GB2312" w:eastAsia="仿宋_GB2312" w:cs="仿宋_GB2312"/>
          <w:b w:val="0"/>
          <w:bCs/>
          <w:kern w:val="0"/>
          <w:sz w:val="32"/>
          <w:szCs w:val="32"/>
          <w:highlight w:val="none"/>
          <w:lang w:eastAsia="zh-CN"/>
        </w:rPr>
        <w:t>按照党中央、国务院关于党政机关习惯过紧日子的有关要求，厉行节约办一切事业，严控一般性支出。同时坚持有保有压，优化支出结构，提高资金使用效率，合理保障</w:t>
      </w:r>
      <w:r>
        <w:rPr>
          <w:rFonts w:hint="eastAsia" w:ascii="仿宋_GB2312" w:hAnsi="仿宋_GB2312" w:eastAsia="仿宋_GB2312" w:cs="仿宋_GB2312"/>
          <w:b w:val="0"/>
          <w:bCs/>
          <w:kern w:val="0"/>
          <w:sz w:val="32"/>
          <w:szCs w:val="32"/>
          <w:highlight w:val="none"/>
          <w:lang w:val="en-US" w:eastAsia="zh-CN"/>
        </w:rPr>
        <w:t>机构运行、民生保障</w:t>
      </w:r>
      <w:r>
        <w:rPr>
          <w:rFonts w:hint="eastAsia" w:ascii="仿宋_GB2312" w:hAnsi="仿宋_GB2312" w:eastAsia="仿宋_GB2312" w:cs="仿宋_GB2312"/>
          <w:b w:val="0"/>
          <w:bCs/>
          <w:kern w:val="0"/>
          <w:sz w:val="32"/>
          <w:szCs w:val="32"/>
          <w:highlight w:val="none"/>
          <w:lang w:eastAsia="zh-CN"/>
        </w:rPr>
        <w:t>等重点支出，体现在有关支出科目中。</w:t>
      </w:r>
    </w:p>
    <w:p w14:paraId="713EB5F0">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ascii="仿宋_GB2312" w:eastAsia="仿宋_GB2312"/>
          <w:sz w:val="32"/>
          <w:szCs w:val="32"/>
        </w:rPr>
      </w:pPr>
      <w:r>
        <w:rPr>
          <w:rFonts w:hint="eastAsia" w:ascii="仿宋_GB2312" w:hAnsi="仿宋_GB2312" w:eastAsia="仿宋_GB2312" w:cs="仿宋_GB2312"/>
          <w:b w:val="0"/>
          <w:bCs/>
          <w:kern w:val="0"/>
          <w:sz w:val="32"/>
          <w:szCs w:val="32"/>
          <w:highlight w:val="none"/>
          <w:lang w:eastAsia="zh-CN"/>
        </w:rPr>
        <w:t>按照支出功能分类，科学技术支出（类）科技条件与服务（款）机构运行（项）的支出占本年财政拨款支出总额的比重最高，2025年度决算数为859.31万元，占比67.74%，主要用于</w:t>
      </w:r>
      <w:r>
        <w:rPr>
          <w:rFonts w:hint="eastAsia" w:ascii="仿宋_GB2312" w:hAnsi="仿宋_GB2312" w:eastAsia="仿宋_GB2312" w:cs="仿宋_GB2312"/>
          <w:b w:val="0"/>
          <w:bCs/>
          <w:kern w:val="0"/>
          <w:sz w:val="32"/>
          <w:szCs w:val="32"/>
          <w:highlight w:val="none"/>
          <w:lang w:val="en-US" w:eastAsia="zh-CN"/>
        </w:rPr>
        <w:t>人员工资福利</w:t>
      </w:r>
      <w:r>
        <w:rPr>
          <w:rFonts w:hint="eastAsia" w:ascii="仿宋_GB2312" w:hAnsi="仿宋_GB2312" w:eastAsia="仿宋_GB2312" w:cs="仿宋_GB2312"/>
          <w:b w:val="0"/>
          <w:bCs/>
          <w:kern w:val="0"/>
          <w:sz w:val="32"/>
          <w:szCs w:val="32"/>
          <w:highlight w:val="none"/>
          <w:lang w:eastAsia="zh-CN"/>
        </w:rPr>
        <w:t>。</w:t>
      </w:r>
    </w:p>
    <w:p w14:paraId="39D95D56">
      <w:pPr>
        <w:widowControl w:val="0"/>
        <w:spacing w:after="0" w:line="600" w:lineRule="exact"/>
        <w:ind w:firstLine="643" w:firstLineChars="200"/>
        <w:jc w:val="both"/>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（一）一般公共预算财政拨款支出决算总体情况</w:t>
      </w:r>
    </w:p>
    <w:p w14:paraId="6DA106FB">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ascii="仿宋_GB2312" w:eastAsia="仿宋_GB2312"/>
          <w:sz w:val="32"/>
          <w:szCs w:val="32"/>
        </w:rPr>
      </w:pPr>
      <w:r>
        <w:rPr>
          <w:rFonts w:hint="eastAsia" w:ascii="仿宋_GB2312" w:hAnsi="Times New Roman" w:eastAsia="仿宋_GB2312" w:cs="Times New Roman"/>
          <w:b/>
          <w:bCs/>
          <w:spacing w:val="0"/>
          <w:kern w:val="2"/>
          <w:sz w:val="32"/>
          <w:szCs w:val="32"/>
          <w:highlight w:val="none"/>
          <w:lang w:eastAsia="zh-CN"/>
        </w:rPr>
        <w:t>2025年度一般公共预算财政拨款支出1,268.56万元，</w:t>
      </w:r>
      <w:r>
        <w:rPr>
          <w:rFonts w:hint="eastAsia" w:ascii="仿宋_GB2312" w:hAnsi="Times New Roman" w:eastAsia="仿宋_GB2312" w:cs="Times New Roman"/>
          <w:b w:val="0"/>
          <w:bCs w:val="0"/>
          <w:spacing w:val="0"/>
          <w:kern w:val="2"/>
          <w:sz w:val="32"/>
          <w:szCs w:val="32"/>
          <w:highlight w:val="none"/>
          <w:lang w:eastAsia="zh-CN"/>
        </w:rPr>
        <w:t>占本年支出合计的84.32%。</w:t>
      </w:r>
      <w:r>
        <w:rPr>
          <w:rFonts w:hint="eastAsia" w:ascii="仿宋_GB2312" w:hAnsi="Times New Roman" w:eastAsia="仿宋_GB2312" w:cs="Times New Roman"/>
          <w:b/>
          <w:bCs/>
          <w:spacing w:val="0"/>
          <w:kern w:val="2"/>
          <w:sz w:val="32"/>
          <w:szCs w:val="32"/>
          <w:highlight w:val="none"/>
          <w:lang w:eastAsia="zh-CN"/>
        </w:rPr>
        <w:t>与上年相比，</w:t>
      </w:r>
      <w:r>
        <w:rPr>
          <w:rFonts w:hint="eastAsia" w:ascii="仿宋_GB2312" w:hAnsi="Times New Roman" w:eastAsia="仿宋_GB2312" w:cs="Times New Roman"/>
          <w:b w:val="0"/>
          <w:bCs w:val="0"/>
          <w:spacing w:val="0"/>
          <w:kern w:val="2"/>
          <w:sz w:val="32"/>
          <w:szCs w:val="32"/>
          <w:highlight w:val="none"/>
          <w:lang w:eastAsia="zh-CN"/>
        </w:rPr>
        <w:t>增加128.33万元，增长11.25%，主要原因是：</w:t>
      </w:r>
      <w:r>
        <w:rPr>
          <w:rFonts w:hint="eastAsia" w:ascii="仿宋_GB2312" w:hAnsi="仿宋_GB2312" w:eastAsia="仿宋_GB2312" w:cs="仿宋_GB2312"/>
          <w:b w:val="0"/>
          <w:bCs/>
          <w:kern w:val="0"/>
          <w:sz w:val="32"/>
          <w:szCs w:val="32"/>
          <w:highlight w:val="none"/>
          <w:lang w:eastAsia="zh-CN"/>
        </w:rPr>
        <w:t>本单位较上年增加科技计划管理费</w:t>
      </w:r>
      <w:r>
        <w:rPr>
          <w:rFonts w:hint="eastAsia" w:ascii="仿宋_GB2312" w:hAnsi="Times New Roman" w:eastAsia="仿宋_GB2312" w:cs="Times New Roman"/>
          <w:b w:val="0"/>
          <w:bCs w:val="0"/>
          <w:spacing w:val="0"/>
          <w:kern w:val="2"/>
          <w:sz w:val="32"/>
          <w:szCs w:val="32"/>
          <w:highlight w:val="none"/>
          <w:lang w:eastAsia="zh-CN"/>
        </w:rPr>
        <w:t>。</w:t>
      </w:r>
      <w:r>
        <w:rPr>
          <w:rFonts w:hint="eastAsia" w:ascii="仿宋_GB2312" w:hAnsi="Times New Roman" w:eastAsia="仿宋_GB2312" w:cs="Times New Roman"/>
          <w:b/>
          <w:bCs/>
          <w:spacing w:val="0"/>
          <w:kern w:val="2"/>
          <w:sz w:val="32"/>
          <w:szCs w:val="32"/>
          <w:highlight w:val="none"/>
          <w:lang w:eastAsia="zh-CN"/>
        </w:rPr>
        <w:t>与年初预算相比，</w:t>
      </w:r>
      <w:r>
        <w:rPr>
          <w:rFonts w:hint="eastAsia" w:ascii="仿宋_GB2312" w:hAnsi="Times New Roman" w:eastAsia="仿宋_GB2312" w:cs="Times New Roman"/>
          <w:b w:val="0"/>
          <w:bCs w:val="0"/>
          <w:spacing w:val="0"/>
          <w:kern w:val="2"/>
          <w:sz w:val="32"/>
          <w:szCs w:val="32"/>
          <w:highlight w:val="none"/>
          <w:lang w:eastAsia="zh-CN"/>
        </w:rPr>
        <w:t>年初预算数962.99万元，决算数1,268.56万元，预决算差异率31.73%，主要原因是：</w:t>
      </w:r>
      <w:r>
        <w:rPr>
          <w:rFonts w:hint="eastAsia" w:ascii="仿宋_GB2312" w:hAnsi="Times New Roman" w:eastAsia="仿宋_GB2312" w:cs="Times New Roman"/>
          <w:b w:val="0"/>
          <w:bCs w:val="0"/>
          <w:spacing w:val="0"/>
          <w:kern w:val="2"/>
          <w:sz w:val="32"/>
          <w:szCs w:val="32"/>
          <w:highlight w:val="none"/>
          <w:lang w:val="en-US" w:eastAsia="zh-CN"/>
        </w:rPr>
        <w:t>年中</w:t>
      </w:r>
      <w:r>
        <w:rPr>
          <w:rFonts w:hint="eastAsia" w:ascii="仿宋_GB2312" w:hAnsi="Times New Roman" w:eastAsia="仿宋_GB2312" w:cs="Times New Roman"/>
          <w:b w:val="0"/>
          <w:bCs w:val="0"/>
          <w:spacing w:val="0"/>
          <w:kern w:val="2"/>
          <w:sz w:val="32"/>
          <w:szCs w:val="32"/>
          <w:highlight w:val="none"/>
          <w:lang w:eastAsia="zh-CN"/>
        </w:rPr>
        <w:t>追加2025年自治区科技计划管理经费、2025年工程技术研究中心第三方综合服务管理、2025年第十二届新疆创新创业大赛工作经费、2025自治区高新技术产业开发区第三方科技服务、2025双创第三方科技综合服务管理、2025高交会项目，</w:t>
      </w:r>
      <w:r>
        <w:rPr>
          <w:rFonts w:hint="eastAsia" w:ascii="仿宋_GB2312" w:hAnsi="Times New Roman" w:eastAsia="仿宋_GB2312" w:cs="Times New Roman"/>
          <w:b w:val="0"/>
          <w:bCs w:val="0"/>
          <w:spacing w:val="0"/>
          <w:kern w:val="2"/>
          <w:sz w:val="32"/>
          <w:szCs w:val="32"/>
          <w:highlight w:val="none"/>
          <w:lang w:val="en-US" w:eastAsia="zh-CN"/>
        </w:rPr>
        <w:t>导致预决算存在差异</w:t>
      </w:r>
      <w:r>
        <w:rPr>
          <w:rFonts w:hint="eastAsia" w:ascii="仿宋_GB2312" w:hAnsi="Times New Roman" w:eastAsia="仿宋_GB2312" w:cs="Times New Roman"/>
          <w:b w:val="0"/>
          <w:bCs w:val="0"/>
          <w:spacing w:val="0"/>
          <w:kern w:val="2"/>
          <w:sz w:val="32"/>
          <w:szCs w:val="32"/>
          <w:highlight w:val="none"/>
          <w:lang w:eastAsia="zh-CN"/>
        </w:rPr>
        <w:t>。</w:t>
      </w:r>
    </w:p>
    <w:p w14:paraId="0B4433A9">
      <w:pPr>
        <w:widowControl w:val="0"/>
        <w:spacing w:after="0" w:line="600" w:lineRule="exact"/>
        <w:ind w:firstLine="643" w:firstLineChars="200"/>
        <w:jc w:val="both"/>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（二）一般公共预算财政拨款支出决算结构情况</w:t>
      </w:r>
    </w:p>
    <w:p w14:paraId="4DA9DF3A">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2"/>
          <w:sz w:val="32"/>
          <w:szCs w:val="32"/>
          <w:highlight w:val="none"/>
          <w:lang w:eastAsia="zh-CN"/>
        </w:rPr>
      </w:pPr>
      <w:r>
        <w:rPr>
          <w:rFonts w:hint="eastAsia" w:ascii="仿宋_GB2312" w:hAnsi="仿宋_GB2312" w:eastAsia="仿宋_GB2312" w:cs="仿宋_GB2312"/>
          <w:kern w:val="2"/>
          <w:sz w:val="32"/>
          <w:szCs w:val="32"/>
          <w:highlight w:val="none"/>
          <w:lang w:eastAsia="zh-CN"/>
        </w:rPr>
        <w:t>1.科学技术支出（类）1,268.56万元，占100.00%。</w:t>
      </w:r>
    </w:p>
    <w:p w14:paraId="07BFFFD5">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outlineLvl w:val="2"/>
        <w:rPr>
          <w:rFonts w:hint="eastAsia" w:ascii="楷体_GB2312" w:hAnsi="楷体_GB2312" w:eastAsia="楷体_GB2312" w:cs="楷体_GB2312"/>
          <w:b/>
          <w:bCs/>
          <w:kern w:val="2"/>
          <w:sz w:val="32"/>
          <w:szCs w:val="32"/>
          <w:highlight w:val="none"/>
          <w:lang w:eastAsia="zh-CN"/>
        </w:rPr>
      </w:pPr>
      <w:r>
        <w:rPr>
          <w:rFonts w:hint="eastAsia" w:ascii="楷体_GB2312" w:hAnsi="楷体_GB2312" w:eastAsia="楷体_GB2312" w:cs="楷体_GB2312"/>
          <w:b/>
          <w:bCs/>
          <w:kern w:val="2"/>
          <w:sz w:val="32"/>
          <w:szCs w:val="32"/>
          <w:highlight w:val="none"/>
          <w:lang w:eastAsia="zh-CN"/>
        </w:rPr>
        <w:t>（三）一般公共预算财政拨款支出决算具体情况</w:t>
      </w:r>
    </w:p>
    <w:p w14:paraId="1434F48C">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1</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lang w:eastAsia="zh-CN"/>
        </w:rPr>
        <w:t>科学技术支出（类）科学技术管理事务（款）其他科学技术管理事务支出（项）：支出决算数为105.67万元，比上年决算增加105.67万元，增长100.00%，主要原因是：</w:t>
      </w:r>
      <w:r>
        <w:rPr>
          <w:rFonts w:hint="eastAsia" w:ascii="仿宋_GB2312" w:hAnsi="仿宋_GB2312" w:eastAsia="仿宋_GB2312" w:cs="仿宋_GB2312"/>
          <w:kern w:val="0"/>
          <w:sz w:val="32"/>
          <w:szCs w:val="32"/>
          <w:highlight w:val="none"/>
          <w:lang w:val="en-US" w:eastAsia="zh-CN"/>
        </w:rPr>
        <w:t>本年单位</w:t>
      </w:r>
      <w:r>
        <w:rPr>
          <w:rFonts w:hint="eastAsia" w:ascii="仿宋_GB2312" w:hAnsi="仿宋_GB2312" w:eastAsia="仿宋_GB2312" w:cs="仿宋_GB2312"/>
          <w:kern w:val="0"/>
          <w:sz w:val="32"/>
          <w:szCs w:val="32"/>
          <w:highlight w:val="none"/>
          <w:lang w:eastAsia="zh-CN"/>
        </w:rPr>
        <w:t>2025年自治区科技计划管理经费</w:t>
      </w:r>
      <w:r>
        <w:rPr>
          <w:rFonts w:hint="eastAsia" w:ascii="仿宋_GB2312" w:hAnsi="仿宋_GB2312" w:eastAsia="仿宋_GB2312" w:cs="仿宋_GB2312"/>
          <w:kern w:val="0"/>
          <w:sz w:val="32"/>
          <w:szCs w:val="32"/>
          <w:highlight w:val="none"/>
          <w:lang w:val="en-US" w:eastAsia="zh-CN"/>
        </w:rPr>
        <w:t>增加</w:t>
      </w:r>
      <w:r>
        <w:rPr>
          <w:rFonts w:hint="eastAsia" w:ascii="仿宋_GB2312" w:hAnsi="仿宋_GB2312" w:eastAsia="仿宋_GB2312" w:cs="仿宋_GB2312"/>
          <w:kern w:val="0"/>
          <w:sz w:val="32"/>
          <w:szCs w:val="32"/>
          <w:highlight w:val="none"/>
          <w:lang w:eastAsia="zh-CN"/>
        </w:rPr>
        <w:t>。</w:t>
      </w:r>
    </w:p>
    <w:p w14:paraId="26443CDC">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2</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lang w:eastAsia="zh-CN"/>
        </w:rPr>
        <w:t>科学技术支出（类）基础研究（款）自然科学基金（项）：支出决算数为25.46万元，比上年决算减少56.20万元，下降68.82%，主要原因是：减少了自治区自然科学基金项目组织实施管理经费项目支出。</w:t>
      </w:r>
    </w:p>
    <w:p w14:paraId="38325096">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3</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lang w:eastAsia="zh-CN"/>
        </w:rPr>
        <w:t>科学技术支出（类）基础研究（款）实验室及相关设施（项）：支出决算数为13.20万元，比上年决算减少27.22万元，下降67.34%，主要原因是：2025年工程技术研究中心第三方综合服务管理项目支出有所减少。</w:t>
      </w:r>
    </w:p>
    <w:p w14:paraId="51E50A52">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4</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lang w:eastAsia="zh-CN"/>
        </w:rPr>
        <w:t>科学技术支出（类）基础研究（款）科技人才队伍建设（项）：支出决算数为34.14万元，比上年决算增加6.38万元，增长22.98%，主要原因是：青年科技创新人才培养项目支出有所增长。</w:t>
      </w:r>
    </w:p>
    <w:p w14:paraId="6F3B3531">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5</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lang w:eastAsia="zh-CN"/>
        </w:rPr>
        <w:t>科学技术支出（类）应用研究（款）机构运行（项）：支出决算数为2.88万元，比上年决算增加2.88万元，增长100.00%，主要原因是：</w:t>
      </w:r>
      <w:r>
        <w:rPr>
          <w:rFonts w:hint="eastAsia" w:ascii="仿宋_GB2312" w:hAnsi="仿宋_GB2312" w:eastAsia="仿宋_GB2312" w:cs="仿宋_GB2312"/>
          <w:kern w:val="0"/>
          <w:sz w:val="32"/>
          <w:szCs w:val="32"/>
          <w:highlight w:val="none"/>
          <w:lang w:val="en-US" w:eastAsia="zh-CN"/>
        </w:rPr>
        <w:t>本年功能科目调整，</w:t>
      </w:r>
      <w:r>
        <w:rPr>
          <w:rFonts w:hint="eastAsia" w:ascii="仿宋_GB2312" w:hAnsi="仿宋_GB2312" w:eastAsia="仿宋_GB2312" w:cs="仿宋_GB2312"/>
          <w:kern w:val="0"/>
          <w:sz w:val="32"/>
          <w:szCs w:val="32"/>
          <w:highlight w:val="none"/>
          <w:lang w:eastAsia="zh-CN"/>
        </w:rPr>
        <w:t>其他商品</w:t>
      </w:r>
      <w:r>
        <w:rPr>
          <w:rFonts w:hint="eastAsia" w:ascii="仿宋_GB2312" w:hAnsi="仿宋_GB2312" w:eastAsia="仿宋_GB2312" w:cs="仿宋_GB2312"/>
          <w:kern w:val="0"/>
          <w:sz w:val="32"/>
          <w:szCs w:val="32"/>
          <w:highlight w:val="none"/>
          <w:lang w:val="en-US" w:eastAsia="zh-CN"/>
        </w:rPr>
        <w:t>服务</w:t>
      </w:r>
      <w:r>
        <w:rPr>
          <w:rFonts w:hint="eastAsia" w:ascii="仿宋_GB2312" w:hAnsi="仿宋_GB2312" w:eastAsia="仿宋_GB2312" w:cs="仿宋_GB2312"/>
          <w:kern w:val="0"/>
          <w:sz w:val="32"/>
          <w:szCs w:val="32"/>
          <w:highlight w:val="none"/>
          <w:lang w:eastAsia="zh-CN"/>
        </w:rPr>
        <w:t>支出</w:t>
      </w:r>
      <w:r>
        <w:rPr>
          <w:rFonts w:hint="eastAsia" w:ascii="仿宋_GB2312" w:hAnsi="仿宋_GB2312" w:eastAsia="仿宋_GB2312" w:cs="仿宋_GB2312"/>
          <w:kern w:val="0"/>
          <w:sz w:val="32"/>
          <w:szCs w:val="32"/>
          <w:highlight w:val="none"/>
          <w:lang w:val="en-US" w:eastAsia="zh-CN"/>
        </w:rPr>
        <w:t>上年度在主科目列支，本年单独列支，导致经费较上年增加</w:t>
      </w:r>
      <w:r>
        <w:rPr>
          <w:rFonts w:hint="eastAsia" w:ascii="仿宋_GB2312" w:hAnsi="仿宋_GB2312" w:eastAsia="仿宋_GB2312" w:cs="仿宋_GB2312"/>
          <w:kern w:val="0"/>
          <w:sz w:val="32"/>
          <w:szCs w:val="32"/>
          <w:highlight w:val="none"/>
          <w:lang w:eastAsia="zh-CN"/>
        </w:rPr>
        <w:t>。</w:t>
      </w:r>
    </w:p>
    <w:p w14:paraId="2560D4FA">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6</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lang w:eastAsia="zh-CN"/>
        </w:rPr>
        <w:t>科学技术支出（类）技术研究与开发（款）科技成果转化与扩散（项）：支出决算数为148.29万元，比上年决算增加74.36万元，增长100.58%，主要原因是：2025年第十二届新疆创新创业大赛工作经费、2025自治区高新技术产业开发区第三方科技服务项目支出增加。</w:t>
      </w:r>
    </w:p>
    <w:p w14:paraId="57B47EE4">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7</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lang w:eastAsia="zh-CN"/>
        </w:rPr>
        <w:t>科学技术支出（类）科技条件与服务（款）机构运行（项）：支出决算数为859.31万元，比上年决算增加51.75万元，增长6.41%，主要原因是：</w:t>
      </w:r>
      <w:r>
        <w:rPr>
          <w:rFonts w:hint="eastAsia" w:ascii="仿宋_GB2312" w:hAnsi="仿宋_GB2312" w:eastAsia="仿宋_GB2312" w:cs="仿宋_GB2312"/>
          <w:kern w:val="0"/>
          <w:sz w:val="32"/>
          <w:szCs w:val="32"/>
          <w:highlight w:val="none"/>
          <w:lang w:val="en-US" w:eastAsia="zh-CN"/>
        </w:rPr>
        <w:t>本年度</w:t>
      </w:r>
      <w:r>
        <w:rPr>
          <w:rFonts w:hint="eastAsia" w:ascii="仿宋_GB2312" w:hAnsi="仿宋_GB2312" w:eastAsia="仿宋_GB2312" w:cs="仿宋_GB2312"/>
          <w:kern w:val="0"/>
          <w:sz w:val="32"/>
          <w:szCs w:val="32"/>
          <w:highlight w:val="none"/>
          <w:lang w:eastAsia="zh-CN"/>
        </w:rPr>
        <w:t>在职人员</w:t>
      </w:r>
      <w:r>
        <w:rPr>
          <w:rFonts w:hint="eastAsia" w:ascii="仿宋_GB2312" w:hAnsi="仿宋_GB2312" w:eastAsia="仿宋_GB2312" w:cs="仿宋_GB2312"/>
          <w:kern w:val="0"/>
          <w:sz w:val="32"/>
          <w:szCs w:val="32"/>
          <w:highlight w:val="none"/>
          <w:lang w:val="en-US" w:eastAsia="zh-CN"/>
        </w:rPr>
        <w:t>工资调增</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导致相关人员经费较上年有所增加</w:t>
      </w:r>
      <w:r>
        <w:rPr>
          <w:rFonts w:hint="eastAsia" w:ascii="仿宋_GB2312" w:hAnsi="仿宋_GB2312" w:eastAsia="仿宋_GB2312" w:cs="仿宋_GB2312"/>
          <w:kern w:val="0"/>
          <w:sz w:val="32"/>
          <w:szCs w:val="32"/>
          <w:highlight w:val="none"/>
          <w:lang w:eastAsia="zh-CN"/>
        </w:rPr>
        <w:t>。</w:t>
      </w:r>
    </w:p>
    <w:p w14:paraId="71E7D0D0">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ascii="仿宋_GB2312" w:eastAsia="仿宋_GB2312"/>
          <w:sz w:val="32"/>
          <w:szCs w:val="32"/>
        </w:rPr>
        <w:t>8</w:t>
      </w:r>
      <w:r>
        <w:rPr>
          <w:rFonts w:hint="eastAsia" w:ascii="仿宋_GB2312" w:eastAsia="仿宋_GB2312"/>
          <w:sz w:val="32"/>
          <w:szCs w:val="32"/>
          <w:lang w:val="en-US" w:eastAsia="zh-CN"/>
        </w:rPr>
        <w:t>.</w:t>
      </w:r>
      <w:r>
        <w:rPr>
          <w:rFonts w:ascii="仿宋_GB2312" w:eastAsia="仿宋_GB2312"/>
          <w:sz w:val="32"/>
          <w:szCs w:val="32"/>
        </w:rPr>
        <w:t>科学技术支出（类）科技条件与服务（款）技术创新服务体系（项）：支出决算数为33.22万元，比上年决算增加8.</w:t>
      </w:r>
      <w:r>
        <w:rPr>
          <w:rFonts w:hint="eastAsia" w:ascii="仿宋_GB2312" w:hAnsi="仿宋_GB2312" w:eastAsia="仿宋_GB2312" w:cs="仿宋_GB2312"/>
          <w:kern w:val="0"/>
          <w:sz w:val="32"/>
          <w:szCs w:val="32"/>
          <w:highlight w:val="none"/>
          <w:lang w:eastAsia="zh-CN"/>
        </w:rPr>
        <w:t>52万元，增长34.49%，主要原因是：2024双创第三方科技综合服务管理项目支出有所增加。</w:t>
      </w:r>
    </w:p>
    <w:p w14:paraId="7B287CE5">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lang w:eastAsia="zh-CN"/>
        </w:rPr>
        <w:t>9</w:t>
      </w:r>
      <w:r>
        <w:rPr>
          <w:rFonts w:hint="eastAsia" w:ascii="仿宋_GB2312" w:hAnsi="仿宋_GB2312" w:eastAsia="仿宋_GB2312" w:cs="仿宋_GB2312"/>
          <w:kern w:val="0"/>
          <w:sz w:val="32"/>
          <w:szCs w:val="32"/>
          <w:highlight w:val="none"/>
          <w:lang w:val="en-US" w:eastAsia="zh-CN"/>
        </w:rPr>
        <w:t>.</w:t>
      </w:r>
      <w:r>
        <w:rPr>
          <w:rFonts w:hint="eastAsia" w:ascii="仿宋_GB2312" w:hAnsi="仿宋_GB2312" w:eastAsia="仿宋_GB2312" w:cs="仿宋_GB2312"/>
          <w:kern w:val="0"/>
          <w:sz w:val="32"/>
          <w:szCs w:val="32"/>
          <w:highlight w:val="none"/>
          <w:lang w:eastAsia="zh-CN"/>
        </w:rPr>
        <w:t>科学技术支出（类）其他科学技术支出（款）其他科学技术支出（项）：支出决算数为46.38万元，比上年决算减少37.82万元，下降44.92%，主要原因是：</w:t>
      </w:r>
      <w:r>
        <w:rPr>
          <w:rFonts w:hint="eastAsia" w:ascii="仿宋_GB2312" w:hAnsi="仿宋_GB2312" w:eastAsia="仿宋_GB2312" w:cs="仿宋_GB2312"/>
          <w:kern w:val="0"/>
          <w:sz w:val="32"/>
          <w:szCs w:val="32"/>
          <w:highlight w:val="none"/>
          <w:lang w:val="en-US" w:eastAsia="zh-CN"/>
        </w:rPr>
        <w:t>本年单位</w:t>
      </w:r>
      <w:r>
        <w:rPr>
          <w:rFonts w:hint="eastAsia" w:ascii="仿宋_GB2312" w:hAnsi="仿宋_GB2312" w:eastAsia="仿宋_GB2312" w:cs="仿宋_GB2312"/>
          <w:kern w:val="0"/>
          <w:sz w:val="32"/>
          <w:szCs w:val="32"/>
          <w:highlight w:val="none"/>
          <w:lang w:eastAsia="zh-CN"/>
        </w:rPr>
        <w:t>减少科博会</w:t>
      </w:r>
      <w:r>
        <w:rPr>
          <w:rFonts w:hint="eastAsia" w:ascii="仿宋_GB2312" w:hAnsi="仿宋_GB2312" w:eastAsia="仿宋_GB2312" w:cs="仿宋_GB2312"/>
          <w:kern w:val="0"/>
          <w:sz w:val="32"/>
          <w:szCs w:val="32"/>
          <w:highlight w:val="none"/>
          <w:lang w:val="en-US" w:eastAsia="zh-CN"/>
        </w:rPr>
        <w:t>项目资金</w:t>
      </w:r>
      <w:r>
        <w:rPr>
          <w:rFonts w:hint="eastAsia" w:ascii="仿宋_GB2312" w:hAnsi="仿宋_GB2312" w:eastAsia="仿宋_GB2312" w:cs="仿宋_GB2312"/>
          <w:kern w:val="0"/>
          <w:sz w:val="32"/>
          <w:szCs w:val="32"/>
          <w:highlight w:val="none"/>
          <w:lang w:eastAsia="zh-CN"/>
        </w:rPr>
        <w:t>。</w:t>
      </w:r>
    </w:p>
    <w:p w14:paraId="7E3FE51F">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六</w:t>
      </w:r>
      <w:r>
        <w:rPr>
          <w:rFonts w:hint="eastAsia" w:ascii="黑体" w:hAnsi="黑体" w:eastAsia="黑体" w:cs="宋体"/>
          <w:bCs/>
          <w:kern w:val="0"/>
          <w:sz w:val="32"/>
          <w:szCs w:val="32"/>
          <w:lang w:val="en-US" w:eastAsia="zh-CN"/>
        </w:rPr>
        <w:t>、一般公共预算财政拨款基本支出决算情况说明</w:t>
      </w:r>
    </w:p>
    <w:p w14:paraId="6DE09292">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Times New Roman" w:eastAsia="仿宋_GB2312" w:cs="Times New Roman"/>
          <w:spacing w:val="0"/>
          <w:kern w:val="2"/>
          <w:sz w:val="32"/>
          <w:szCs w:val="32"/>
          <w:highlight w:val="none"/>
          <w:lang w:eastAsia="zh-CN"/>
        </w:rPr>
      </w:pPr>
      <w:r>
        <w:rPr>
          <w:rFonts w:hint="eastAsia" w:ascii="仿宋_GB2312" w:hAnsi="Times New Roman" w:eastAsia="仿宋_GB2312" w:cs="Times New Roman"/>
          <w:spacing w:val="0"/>
          <w:kern w:val="2"/>
          <w:sz w:val="32"/>
          <w:szCs w:val="32"/>
          <w:highlight w:val="none"/>
          <w:lang w:eastAsia="zh-CN"/>
        </w:rPr>
        <w:t>2025年度一般公共预算财政拨款基本支出862.19万元，其中：</w:t>
      </w:r>
      <w:r>
        <w:rPr>
          <w:rFonts w:hint="eastAsia" w:ascii="仿宋_GB2312" w:hAnsi="Times New Roman" w:eastAsia="仿宋_GB2312" w:cs="Times New Roman"/>
          <w:b/>
          <w:bCs/>
          <w:kern w:val="2"/>
          <w:sz w:val="32"/>
          <w:szCs w:val="32"/>
          <w:highlight w:val="none"/>
          <w:lang w:eastAsia="zh-CN"/>
        </w:rPr>
        <w:t>人员经费801.49万元，</w:t>
      </w:r>
      <w:r>
        <w:rPr>
          <w:rFonts w:hint="eastAsia" w:ascii="仿宋_GB2312" w:hAnsi="Times New Roman" w:eastAsia="仿宋_GB2312" w:cs="Times New Roman"/>
          <w:spacing w:val="0"/>
          <w:kern w:val="2"/>
          <w:sz w:val="32"/>
          <w:szCs w:val="32"/>
          <w:highlight w:val="none"/>
          <w:lang w:eastAsia="zh-CN"/>
        </w:rPr>
        <w:t>包括：基本工资、津贴补贴、奖金、绩效工资、机关事业单位基本养老保险缴费、职业年金缴费、职工基本医疗保险缴费、公务员医疗补助缴费、其他社会保障缴费、住房公积金、退休费和其他对个人和家庭的补助。</w:t>
      </w:r>
    </w:p>
    <w:p w14:paraId="4FB5E5A3">
      <w:pPr>
        <w:keepNext w:val="0"/>
        <w:keepLines w:val="0"/>
        <w:pageBreakBefore w:val="0"/>
        <w:widowControl w:val="0"/>
        <w:kinsoku/>
        <w:wordWrap/>
        <w:overflowPunct/>
        <w:topLinePunct w:val="0"/>
        <w:autoSpaceDE/>
        <w:autoSpaceDN/>
        <w:bidi w:val="0"/>
        <w:adjustRightInd/>
        <w:snapToGrid/>
        <w:spacing w:after="0" w:line="240" w:lineRule="auto"/>
        <w:ind w:left="0" w:leftChars="0" w:firstLine="643" w:firstLineChars="200"/>
        <w:jc w:val="both"/>
        <w:textAlignment w:val="auto"/>
        <w:rPr>
          <w:rFonts w:hint="eastAsia" w:ascii="仿宋_GB2312" w:hAnsi="Times New Roman" w:eastAsia="仿宋_GB2312" w:cs="Times New Roman"/>
          <w:kern w:val="2"/>
          <w:sz w:val="32"/>
          <w:szCs w:val="32"/>
          <w:highlight w:val="none"/>
          <w:lang w:eastAsia="zh-CN"/>
        </w:rPr>
      </w:pPr>
      <w:r>
        <w:rPr>
          <w:rFonts w:hint="eastAsia" w:ascii="仿宋_GB2312" w:hAnsi="Times New Roman" w:eastAsia="仿宋_GB2312" w:cs="Times New Roman"/>
          <w:b/>
          <w:bCs/>
          <w:kern w:val="2"/>
          <w:sz w:val="32"/>
          <w:szCs w:val="32"/>
          <w:highlight w:val="none"/>
          <w:lang w:eastAsia="zh-CN"/>
        </w:rPr>
        <w:t>公用经费60.70万元，</w:t>
      </w:r>
      <w:r>
        <w:rPr>
          <w:rFonts w:hint="eastAsia" w:ascii="仿宋_GB2312" w:hAnsi="Times New Roman" w:eastAsia="仿宋_GB2312" w:cs="Times New Roman"/>
          <w:kern w:val="2"/>
          <w:sz w:val="32"/>
          <w:szCs w:val="32"/>
          <w:highlight w:val="none"/>
          <w:lang w:eastAsia="zh-CN"/>
        </w:rPr>
        <w:t>包括：办公费、印刷费、水费、电费、邮电费、取暖费、物业管理费、差旅费、委托业务费、工会经费、福利费、公务用车运行维护费和其他商品和服务支出。</w:t>
      </w:r>
    </w:p>
    <w:p w14:paraId="71908A44">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七、政府性基金预算财政拨款收入支出决算情况说明</w:t>
      </w:r>
    </w:p>
    <w:p w14:paraId="41430E2F">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Times New Roman" w:eastAsia="仿宋_GB2312" w:cs="Times New Roman"/>
          <w:kern w:val="2"/>
          <w:sz w:val="32"/>
          <w:szCs w:val="32"/>
          <w:highlight w:val="none"/>
          <w:lang w:eastAsia="zh-CN"/>
        </w:rPr>
      </w:pPr>
      <w:r>
        <w:rPr>
          <w:rFonts w:hint="eastAsia" w:ascii="仿宋_GB2312" w:hAnsi="Times New Roman" w:eastAsia="仿宋_GB2312" w:cs="Times New Roman"/>
          <w:kern w:val="2"/>
          <w:sz w:val="32"/>
          <w:szCs w:val="32"/>
          <w:highlight w:val="none"/>
          <w:lang w:eastAsia="zh-CN"/>
        </w:rPr>
        <w:t>本单位本年度无政府性基金预算财政拨款收入、支出及结转和结余，政府性基金预算财政拨款收入支出决算表为空表。</w:t>
      </w:r>
    </w:p>
    <w:p w14:paraId="05220080">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八、国有资本经营预算财政拨款收入支出决算情况说明</w:t>
      </w:r>
    </w:p>
    <w:p w14:paraId="78B71E25">
      <w:pPr>
        <w:keepNext w:val="0"/>
        <w:keepLines w:val="0"/>
        <w:pageBreakBefore w:val="0"/>
        <w:widowControl w:val="0"/>
        <w:kinsoku/>
        <w:wordWrap/>
        <w:overflowPunct/>
        <w:topLinePunct w:val="0"/>
        <w:autoSpaceDE/>
        <w:autoSpaceDN/>
        <w:bidi w:val="0"/>
        <w:adjustRightInd/>
        <w:snapToGrid/>
        <w:spacing w:after="0" w:line="240" w:lineRule="auto"/>
        <w:ind w:left="0" w:leftChars="0"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US" w:eastAsia="zh-CN"/>
        </w:rPr>
        <w:t>本单位本年度无国有资本经营预算财政拨款收入、支出及结转和结余，国有资本经营预算财政拨款收入支出决算表为空表。</w:t>
      </w:r>
    </w:p>
    <w:p w14:paraId="0B8A00EF">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九、财政拨款“三公”经费支出决算情况说明</w:t>
      </w:r>
    </w:p>
    <w:p w14:paraId="493390B2">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Times New Roman" w:eastAsia="仿宋_GB2312" w:cs="Times New Roman"/>
          <w:kern w:val="2"/>
          <w:sz w:val="32"/>
          <w:szCs w:val="32"/>
          <w:highlight w:val="none"/>
          <w:lang w:eastAsia="zh-CN"/>
        </w:rPr>
      </w:pPr>
      <w:r>
        <w:rPr>
          <w:rFonts w:hint="eastAsia" w:ascii="仿宋_GB2312" w:hAnsi="Times New Roman" w:eastAsia="仿宋_GB2312" w:cs="Times New Roman"/>
          <w:b/>
          <w:bCs/>
          <w:spacing w:val="0"/>
          <w:kern w:val="2"/>
          <w:sz w:val="32"/>
          <w:szCs w:val="32"/>
          <w:highlight w:val="none"/>
          <w:lang w:eastAsia="zh-CN"/>
        </w:rPr>
        <w:t>2025年度财政拨款“三公”经费支出2.20万元，</w:t>
      </w:r>
      <w:r>
        <w:rPr>
          <w:rFonts w:hint="eastAsia" w:ascii="仿宋_GB2312" w:hAnsi="Times New Roman" w:eastAsia="仿宋_GB2312" w:cs="Times New Roman"/>
          <w:kern w:val="2"/>
          <w:sz w:val="32"/>
          <w:szCs w:val="32"/>
          <w:highlight w:val="none"/>
          <w:lang w:eastAsia="zh-CN"/>
        </w:rPr>
        <w:t>与上年相比无变化，主要原因是：本单位</w:t>
      </w:r>
      <w:r>
        <w:rPr>
          <w:rFonts w:hint="eastAsia" w:ascii="仿宋_GB2312" w:hAnsi="Times New Roman" w:eastAsia="仿宋_GB2312" w:cs="Times New Roman"/>
          <w:b w:val="0"/>
          <w:bCs w:val="0"/>
          <w:spacing w:val="0"/>
          <w:kern w:val="2"/>
          <w:sz w:val="32"/>
          <w:szCs w:val="32"/>
          <w:highlight w:val="none"/>
          <w:lang w:eastAsia="zh-CN"/>
        </w:rPr>
        <w:t>财政拨款</w:t>
      </w:r>
      <w:r>
        <w:rPr>
          <w:rFonts w:hint="eastAsia" w:ascii="仿宋_GB2312" w:hAnsi="Times New Roman" w:eastAsia="仿宋_GB2312" w:cs="Times New Roman"/>
          <w:b w:val="0"/>
          <w:bCs w:val="0"/>
          <w:kern w:val="2"/>
          <w:sz w:val="32"/>
          <w:szCs w:val="32"/>
          <w:highlight w:val="none"/>
          <w:lang w:eastAsia="zh-CN"/>
        </w:rPr>
        <w:t>“三</w:t>
      </w:r>
      <w:r>
        <w:rPr>
          <w:rFonts w:hint="eastAsia" w:ascii="仿宋_GB2312" w:hAnsi="Times New Roman" w:eastAsia="仿宋_GB2312" w:cs="Times New Roman"/>
          <w:kern w:val="2"/>
          <w:sz w:val="32"/>
          <w:szCs w:val="32"/>
          <w:highlight w:val="none"/>
          <w:lang w:eastAsia="zh-CN"/>
        </w:rPr>
        <w:t>公”经费</w:t>
      </w:r>
      <w:r>
        <w:rPr>
          <w:rFonts w:hint="eastAsia" w:ascii="仿宋_GB2312" w:hAnsi="Times New Roman" w:eastAsia="仿宋_GB2312" w:cs="Times New Roman"/>
          <w:kern w:val="2"/>
          <w:sz w:val="32"/>
          <w:szCs w:val="32"/>
          <w:highlight w:val="none"/>
          <w:lang w:val="en-US" w:eastAsia="zh-CN"/>
        </w:rPr>
        <w:t>与上年一致无变化</w:t>
      </w:r>
      <w:r>
        <w:rPr>
          <w:rFonts w:hint="eastAsia" w:ascii="仿宋_GB2312" w:hAnsi="Times New Roman" w:eastAsia="仿宋_GB2312" w:cs="Times New Roman"/>
          <w:kern w:val="2"/>
          <w:sz w:val="32"/>
          <w:szCs w:val="32"/>
          <w:highlight w:val="none"/>
          <w:lang w:eastAsia="zh-CN"/>
        </w:rPr>
        <w:t>。其中：因公出国（境）费用支出0.00万元,占0.00%，与上年相比无变化，主要原因是：2024年度与2025年度均未安排因公出国（境）费；公务用车购置及运行维护费支出2.20万元，占100.00%，与上年相比无变化，主要原因是：本单位公务用车</w:t>
      </w:r>
      <w:r>
        <w:rPr>
          <w:rFonts w:hint="eastAsia" w:ascii="仿宋_GB2312" w:hAnsi="Times New Roman" w:eastAsia="仿宋_GB2312" w:cs="Times New Roman"/>
          <w:kern w:val="2"/>
          <w:sz w:val="32"/>
          <w:szCs w:val="32"/>
          <w:highlight w:val="none"/>
          <w:lang w:val="en-US" w:eastAsia="zh-CN"/>
        </w:rPr>
        <w:t>购置及运行维护费支出与上年一致无变化</w:t>
      </w:r>
      <w:r>
        <w:rPr>
          <w:rFonts w:hint="eastAsia" w:ascii="仿宋_GB2312" w:hAnsi="Times New Roman" w:eastAsia="仿宋_GB2312" w:cs="Times New Roman"/>
          <w:kern w:val="2"/>
          <w:sz w:val="32"/>
          <w:szCs w:val="32"/>
          <w:highlight w:val="none"/>
          <w:lang w:eastAsia="zh-CN"/>
        </w:rPr>
        <w:t>；公务接待费支出0.00万元，占0.00%，与上年相比无变化，主要原因是：2024年度与2025年度均未安排公务接待费。</w:t>
      </w:r>
    </w:p>
    <w:p w14:paraId="5FF3C3D1">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rPr>
          <w:rFonts w:hint="eastAsia" w:ascii="仿宋_GB2312" w:hAnsi="Times New Roman" w:eastAsia="仿宋_GB2312" w:cs="Times New Roman"/>
          <w:b/>
          <w:bCs/>
          <w:kern w:val="2"/>
          <w:sz w:val="32"/>
          <w:szCs w:val="32"/>
          <w:highlight w:val="none"/>
          <w:lang w:eastAsia="zh-CN"/>
        </w:rPr>
      </w:pPr>
      <w:r>
        <w:rPr>
          <w:rFonts w:hint="eastAsia" w:ascii="仿宋_GB2312" w:hAnsi="Times New Roman" w:eastAsia="仿宋_GB2312" w:cs="Times New Roman"/>
          <w:b/>
          <w:bCs/>
          <w:kern w:val="2"/>
          <w:sz w:val="32"/>
          <w:szCs w:val="32"/>
          <w:highlight w:val="none"/>
          <w:lang w:eastAsia="zh-CN"/>
        </w:rPr>
        <w:t>具体情况如下：</w:t>
      </w:r>
    </w:p>
    <w:p w14:paraId="31F78E3D">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Times New Roman" w:eastAsia="仿宋_GB2312" w:cs="Times New Roman"/>
          <w:kern w:val="2"/>
          <w:sz w:val="32"/>
          <w:szCs w:val="32"/>
          <w:highlight w:val="none"/>
          <w:lang w:eastAsia="zh-CN"/>
        </w:rPr>
      </w:pPr>
      <w:r>
        <w:rPr>
          <w:rFonts w:hint="eastAsia" w:ascii="仿宋_GB2312" w:hAnsi="Times New Roman" w:eastAsia="仿宋_GB2312" w:cs="Times New Roman"/>
          <w:kern w:val="2"/>
          <w:sz w:val="32"/>
          <w:szCs w:val="32"/>
          <w:highlight w:val="none"/>
          <w:lang w:eastAsia="zh-CN"/>
        </w:rPr>
        <w:t>因公出国（境）费用0.00万元，开支内容包括本单位无因公出国（境）费。单位全年安排的因公出国（境）团组0个，因公出国（境）0人次。</w:t>
      </w:r>
    </w:p>
    <w:p w14:paraId="53321B96">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Times New Roman" w:eastAsia="仿宋_GB2312" w:cs="Times New Roman"/>
          <w:kern w:val="2"/>
          <w:sz w:val="32"/>
          <w:szCs w:val="32"/>
          <w:highlight w:val="none"/>
          <w:lang w:eastAsia="zh-CN"/>
        </w:rPr>
      </w:pPr>
      <w:r>
        <w:rPr>
          <w:rFonts w:hint="eastAsia" w:ascii="仿宋_GB2312" w:hAnsi="Times New Roman" w:eastAsia="仿宋_GB2312" w:cs="Times New Roman"/>
          <w:kern w:val="2"/>
          <w:sz w:val="32"/>
          <w:szCs w:val="32"/>
          <w:highlight w:val="none"/>
          <w:lang w:eastAsia="zh-CN"/>
        </w:rPr>
        <w:t>公务用车购置及运行维护费2.20万元，其中：公务用车购置费0.00万元，公务用车运行维护费2.20万元。公务用车运行维护费开支内容包括公务用车燃料费、维修费、过路过桥费、保险费等支出。公务用车购置数0辆，公务用车保有量2辆。国有资产占用情况中固定资产车辆2辆，与公务用车保有量差异原因是：</w:t>
      </w:r>
      <w:r>
        <w:rPr>
          <w:rFonts w:hint="eastAsia" w:ascii="仿宋_GB2312" w:hAnsi="Times New Roman" w:eastAsia="仿宋_GB2312" w:cs="Times New Roman"/>
          <w:kern w:val="2"/>
          <w:sz w:val="32"/>
          <w:szCs w:val="32"/>
          <w:highlight w:val="none"/>
          <w:lang w:val="en-US" w:eastAsia="zh-CN"/>
        </w:rPr>
        <w:t>本</w:t>
      </w:r>
      <w:r>
        <w:rPr>
          <w:rFonts w:hint="eastAsia" w:ascii="仿宋_GB2312" w:hAnsi="Times New Roman" w:eastAsia="仿宋_GB2312" w:cs="Times New Roman"/>
          <w:kern w:val="2"/>
          <w:sz w:val="32"/>
          <w:szCs w:val="32"/>
          <w:highlight w:val="none"/>
          <w:lang w:eastAsia="zh-CN"/>
        </w:rPr>
        <w:t>单位公务用车保有量</w:t>
      </w:r>
      <w:r>
        <w:rPr>
          <w:rFonts w:hint="eastAsia" w:ascii="仿宋_GB2312" w:hAnsi="Times New Roman" w:eastAsia="仿宋_GB2312" w:cs="Times New Roman"/>
          <w:kern w:val="2"/>
          <w:sz w:val="32"/>
          <w:szCs w:val="32"/>
          <w:highlight w:val="none"/>
          <w:lang w:val="en-US" w:eastAsia="zh-CN"/>
        </w:rPr>
        <w:t>与固定资产车辆一致</w:t>
      </w:r>
      <w:r>
        <w:rPr>
          <w:rFonts w:hint="eastAsia" w:ascii="仿宋_GB2312" w:hAnsi="Times New Roman" w:eastAsia="仿宋_GB2312" w:cs="Times New Roman"/>
          <w:kern w:val="2"/>
          <w:sz w:val="32"/>
          <w:szCs w:val="32"/>
          <w:highlight w:val="none"/>
          <w:lang w:eastAsia="zh-CN"/>
        </w:rPr>
        <w:t>无差异。</w:t>
      </w:r>
    </w:p>
    <w:p w14:paraId="089C424D">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Times New Roman" w:eastAsia="仿宋_GB2312" w:cs="Times New Roman"/>
          <w:kern w:val="2"/>
          <w:sz w:val="32"/>
          <w:szCs w:val="32"/>
          <w:highlight w:val="none"/>
          <w:lang w:eastAsia="zh-CN"/>
        </w:rPr>
      </w:pPr>
      <w:r>
        <w:rPr>
          <w:rFonts w:hint="eastAsia" w:ascii="仿宋_GB2312" w:hAnsi="Times New Roman" w:eastAsia="仿宋_GB2312" w:cs="Times New Roman"/>
          <w:kern w:val="2"/>
          <w:sz w:val="32"/>
          <w:szCs w:val="32"/>
          <w:highlight w:val="none"/>
          <w:lang w:eastAsia="zh-CN"/>
        </w:rPr>
        <w:t>公务接待费0.00万元，开支内容包括本单位无公务接待费。单位全年安排的国内公务接待0批次，0人次。</w:t>
      </w:r>
    </w:p>
    <w:p w14:paraId="18563DA1">
      <w:pPr>
        <w:keepNext w:val="0"/>
        <w:keepLines w:val="0"/>
        <w:pageBreakBefore w:val="0"/>
        <w:widowControl w:val="0"/>
        <w:kinsoku/>
        <w:wordWrap/>
        <w:overflowPunct/>
        <w:topLinePunct w:val="0"/>
        <w:autoSpaceDE/>
        <w:autoSpaceDN/>
        <w:bidi w:val="0"/>
        <w:adjustRightInd/>
        <w:snapToGrid/>
        <w:spacing w:after="0" w:line="240" w:lineRule="auto"/>
        <w:ind w:left="0" w:leftChars="0" w:firstLine="643" w:firstLineChars="200"/>
        <w:jc w:val="both"/>
        <w:textAlignment w:val="auto"/>
        <w:rPr>
          <w:rFonts w:hint="eastAsia" w:ascii="仿宋_GB2312" w:hAnsi="Times New Roman" w:eastAsia="仿宋_GB2312" w:cs="Times New Roman"/>
          <w:b w:val="0"/>
          <w:bCs w:val="0"/>
          <w:kern w:val="2"/>
          <w:sz w:val="32"/>
          <w:szCs w:val="32"/>
          <w:highlight w:val="none"/>
          <w:lang w:eastAsia="zh-CN"/>
        </w:rPr>
      </w:pPr>
      <w:r>
        <w:rPr>
          <w:rFonts w:hint="eastAsia" w:ascii="仿宋_GB2312" w:hAnsi="Times New Roman" w:eastAsia="仿宋_GB2312" w:cs="Times New Roman"/>
          <w:b/>
          <w:bCs/>
          <w:kern w:val="2"/>
          <w:sz w:val="32"/>
          <w:szCs w:val="32"/>
          <w:highlight w:val="none"/>
          <w:lang w:eastAsia="zh-CN"/>
        </w:rPr>
        <w:t>与全年预算相比，</w:t>
      </w:r>
      <w:r>
        <w:rPr>
          <w:rFonts w:hint="eastAsia" w:ascii="仿宋_GB2312" w:hAnsi="Times New Roman" w:eastAsia="仿宋_GB2312" w:cs="Times New Roman"/>
          <w:b w:val="0"/>
          <w:bCs w:val="0"/>
          <w:kern w:val="2"/>
          <w:sz w:val="32"/>
          <w:szCs w:val="32"/>
          <w:highlight w:val="none"/>
          <w:lang w:eastAsia="zh-CN"/>
        </w:rPr>
        <w:t>财政拨款“三公”经费支出全年预算数2.20万元，决算数2.20万元，预决算差异率0.00%，主要原因是：</w:t>
      </w:r>
      <w:r>
        <w:rPr>
          <w:rFonts w:hint="eastAsia" w:ascii="仿宋_GB2312" w:hAnsi="Times New Roman" w:eastAsia="仿宋_GB2312" w:cs="Times New Roman"/>
          <w:b w:val="0"/>
          <w:bCs w:val="0"/>
          <w:kern w:val="2"/>
          <w:sz w:val="32"/>
          <w:szCs w:val="32"/>
          <w:highlight w:val="none"/>
          <w:lang w:val="en-US" w:eastAsia="zh-CN"/>
        </w:rPr>
        <w:t>严格按照预算执行</w:t>
      </w:r>
      <w:r>
        <w:rPr>
          <w:rFonts w:hint="eastAsia" w:ascii="仿宋_GB2312" w:hAnsi="Times New Roman" w:eastAsia="仿宋_GB2312" w:cs="Times New Roman"/>
          <w:b w:val="0"/>
          <w:bCs w:val="0"/>
          <w:kern w:val="2"/>
          <w:sz w:val="32"/>
          <w:szCs w:val="32"/>
          <w:highlight w:val="none"/>
          <w:lang w:eastAsia="zh-CN"/>
        </w:rPr>
        <w:t>，预决算无差异。其中：因公出国（境）费用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2.20万元，决算数2.20万元，预决算差异率0.00%，主要原因是：</w:t>
      </w:r>
      <w:r>
        <w:rPr>
          <w:rFonts w:hint="eastAsia" w:ascii="仿宋_GB2312" w:hAnsi="Times New Roman" w:eastAsia="仿宋_GB2312" w:cs="Times New Roman"/>
          <w:b w:val="0"/>
          <w:bCs w:val="0"/>
          <w:kern w:val="2"/>
          <w:sz w:val="32"/>
          <w:szCs w:val="32"/>
          <w:highlight w:val="none"/>
          <w:lang w:val="en-US" w:eastAsia="zh-CN"/>
        </w:rPr>
        <w:t>严格按照预算执行，</w:t>
      </w:r>
      <w:r>
        <w:rPr>
          <w:rFonts w:hint="eastAsia" w:ascii="仿宋_GB2312" w:hAnsi="Times New Roman" w:eastAsia="仿宋_GB2312" w:cs="Times New Roman"/>
          <w:b w:val="0"/>
          <w:bCs w:val="0"/>
          <w:kern w:val="2"/>
          <w:sz w:val="32"/>
          <w:szCs w:val="32"/>
          <w:highlight w:val="none"/>
          <w:lang w:eastAsia="zh-CN"/>
        </w:rPr>
        <w:t>预决算无差异；公务接待费全年预算数0.00万元，决算数0.00万元，预决算差异率0.00%，主要原因是：本单位</w:t>
      </w:r>
      <w:bookmarkStart w:id="0" w:name="_GoBack"/>
      <w:bookmarkEnd w:id="0"/>
      <w:r>
        <w:rPr>
          <w:rFonts w:hint="eastAsia" w:ascii="仿宋_GB2312" w:hAnsi="Times New Roman" w:eastAsia="仿宋_GB2312" w:cs="Times New Roman"/>
          <w:b w:val="0"/>
          <w:bCs w:val="0"/>
          <w:kern w:val="2"/>
          <w:sz w:val="32"/>
          <w:szCs w:val="32"/>
          <w:highlight w:val="none"/>
          <w:lang w:eastAsia="zh-CN"/>
        </w:rPr>
        <w:t>无公务接待费。</w:t>
      </w:r>
    </w:p>
    <w:p w14:paraId="1D111CC6">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十、其他重要事项的情况说明</w:t>
      </w:r>
    </w:p>
    <w:p w14:paraId="015B3A89">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（一）机关运行经费及公用经费支出情况</w:t>
      </w:r>
    </w:p>
    <w:p w14:paraId="0151DFD4">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Times New Roman" w:eastAsia="仿宋_GB2312" w:cs="Times New Roman"/>
          <w:spacing w:val="0"/>
          <w:kern w:val="2"/>
          <w:sz w:val="32"/>
          <w:szCs w:val="32"/>
          <w:highlight w:val="none"/>
          <w:lang w:eastAsia="zh-CN"/>
        </w:rPr>
      </w:pPr>
      <w:r>
        <w:rPr>
          <w:rFonts w:hint="eastAsia" w:ascii="仿宋_GB2312" w:hAnsi="Times New Roman" w:eastAsia="仿宋_GB2312" w:cs="Times New Roman"/>
          <w:spacing w:val="0"/>
          <w:kern w:val="2"/>
          <w:sz w:val="32"/>
          <w:szCs w:val="32"/>
          <w:highlight w:val="none"/>
          <w:lang w:eastAsia="zh-CN"/>
        </w:rPr>
        <w:t>2025年度新疆维吾尔自治区科技项目服务中心（事业单位）公用经费支出60.70万元，比上年增加5.87万元，增长10.71%，主要原因是：暖气费上涨、网络费用增长。</w:t>
      </w:r>
    </w:p>
    <w:p w14:paraId="23761A6B">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（二）政府采购情况</w:t>
      </w:r>
    </w:p>
    <w:p w14:paraId="3DDE17DF">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Times New Roman" w:eastAsia="仿宋_GB2312" w:cs="Times New Roman"/>
          <w:spacing w:val="0"/>
          <w:kern w:val="2"/>
          <w:sz w:val="32"/>
          <w:szCs w:val="32"/>
          <w:highlight w:val="none"/>
          <w:lang w:eastAsia="zh-CN"/>
        </w:rPr>
      </w:pPr>
      <w:r>
        <w:rPr>
          <w:rFonts w:hint="eastAsia" w:ascii="仿宋_GB2312" w:hAnsi="Times New Roman" w:eastAsia="仿宋_GB2312" w:cs="Times New Roman"/>
          <w:spacing w:val="0"/>
          <w:kern w:val="2"/>
          <w:sz w:val="32"/>
          <w:szCs w:val="32"/>
          <w:highlight w:val="none"/>
          <w:lang w:eastAsia="zh-CN"/>
        </w:rPr>
        <w:t>2025年度政府采购支出总额16.45万元，其中：政府采购货物支出15.65万元、政府采购工程支出0.00万元、政府采购服务支出0.81万元。</w:t>
      </w:r>
    </w:p>
    <w:p w14:paraId="24AC1A97">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Times New Roman" w:eastAsia="仿宋_GB2312" w:cs="Times New Roman"/>
          <w:spacing w:val="0"/>
          <w:kern w:val="2"/>
          <w:sz w:val="32"/>
          <w:szCs w:val="32"/>
          <w:highlight w:val="none"/>
          <w:lang w:eastAsia="zh-CN"/>
        </w:rPr>
      </w:pPr>
      <w:r>
        <w:rPr>
          <w:rFonts w:hint="eastAsia" w:ascii="仿宋_GB2312" w:hAnsi="Times New Roman" w:eastAsia="仿宋_GB2312" w:cs="Times New Roman"/>
          <w:spacing w:val="0"/>
          <w:kern w:val="2"/>
          <w:sz w:val="32"/>
          <w:szCs w:val="32"/>
          <w:highlight w:val="none"/>
          <w:lang w:eastAsia="zh-CN"/>
        </w:rPr>
        <w:t>授予中小企业合同金额16.10万元，占政府采购支出总额的97.87%，其中：授予小微企业合同金额16.10万元，占政府采购支出总额的97.87%。</w:t>
      </w:r>
    </w:p>
    <w:p w14:paraId="395994EE">
      <w:pPr>
        <w:keepNext w:val="0"/>
        <w:keepLines w:val="0"/>
        <w:pageBreakBefore w:val="0"/>
        <w:widowControl w:val="0"/>
        <w:kinsoku/>
        <w:wordWrap/>
        <w:overflowPunct/>
        <w:topLinePunct w:val="0"/>
        <w:autoSpaceDE/>
        <w:autoSpaceDN/>
        <w:bidi w:val="0"/>
        <w:adjustRightInd/>
        <w:snapToGrid/>
        <w:spacing w:after="0" w:line="240" w:lineRule="auto"/>
        <w:ind w:firstLine="643" w:firstLineChars="200"/>
        <w:jc w:val="both"/>
        <w:textAlignment w:val="auto"/>
        <w:outlineLvl w:val="2"/>
        <w:rPr>
          <w:rFonts w:hint="eastAsia" w:ascii="楷体_GB2312" w:hAnsi="楷体_GB2312" w:eastAsia="楷体_GB2312" w:cs="楷体_GB2312"/>
          <w:b/>
          <w:bCs/>
          <w:kern w:val="2"/>
          <w:sz w:val="32"/>
          <w:szCs w:val="32"/>
          <w:lang w:eastAsia="zh-CN"/>
        </w:rPr>
      </w:pPr>
      <w:r>
        <w:rPr>
          <w:rFonts w:hint="eastAsia" w:ascii="楷体_GB2312" w:hAnsi="楷体_GB2312" w:eastAsia="楷体_GB2312" w:cs="楷体_GB2312"/>
          <w:b/>
          <w:bCs/>
          <w:kern w:val="2"/>
          <w:sz w:val="32"/>
          <w:szCs w:val="32"/>
          <w:lang w:eastAsia="zh-CN"/>
        </w:rPr>
        <w:t>（三）国有资产占用情况说明</w:t>
      </w:r>
    </w:p>
    <w:p w14:paraId="0969BCB0">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Times New Roman" w:eastAsia="仿宋_GB2312" w:cs="Times New Roman"/>
          <w:kern w:val="2"/>
          <w:sz w:val="32"/>
          <w:szCs w:val="32"/>
          <w:highlight w:val="none"/>
          <w:lang w:val="en-US" w:eastAsia="zh-CN"/>
        </w:rPr>
      </w:pPr>
      <w:r>
        <w:rPr>
          <w:rFonts w:hint="eastAsia" w:ascii="仿宋_GB2312" w:hAnsi="Times New Roman" w:eastAsia="仿宋_GB2312" w:cs="Times New Roman"/>
          <w:kern w:val="2"/>
          <w:sz w:val="32"/>
          <w:szCs w:val="32"/>
          <w:highlight w:val="none"/>
          <w:lang w:val="en-US" w:eastAsia="zh-CN"/>
        </w:rPr>
        <w:t>截至2025年12月31日，房屋2,681.00平方米，价值142.94万元。车辆2辆，价值73.50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6DE1A67B">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十一、预算绩效的情况说明</w:t>
      </w:r>
    </w:p>
    <w:p w14:paraId="5765C283">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Times New Roman" w:eastAsia="仿宋_GB2312" w:cs="Times New Roman"/>
          <w:kern w:val="2"/>
          <w:sz w:val="32"/>
          <w:szCs w:val="32"/>
          <w:highlight w:val="none"/>
          <w:lang w:eastAsia="zh-CN"/>
        </w:rPr>
      </w:pPr>
      <w:r>
        <w:rPr>
          <w:rFonts w:hint="eastAsia" w:ascii="仿宋_GB2312" w:hAnsi="Times New Roman" w:eastAsia="仿宋_GB2312" w:cs="Times New Roman"/>
          <w:kern w:val="2"/>
          <w:sz w:val="32"/>
          <w:szCs w:val="32"/>
          <w:highlight w:val="none"/>
          <w:lang w:eastAsia="zh-CN"/>
        </w:rPr>
        <w:t>根据预算绩效管理要求，本单位2025年度预算绩效评价项目4个，全年预算数732.55万元，全年执行数695.38万元。预算绩效管理取得的成效：一是抓好绩效目标编制，及时报送绩效目标；二是探索绩效跟踪监控，要求加强过程监控；三是深入开展财政支出绩效评价，对专项资金实施绩效自评和项目核查，在此基础上形成自评报告。发现的问题及原因：一是思想认识应提升；个别部门对评价工作的重视程度还不够，主要由于评价结果和预算安排尚未密切挂钩,对提高预算绩效管理的认识不到位；二是可操作性有待增强。绩效目标申报的时效性受资金下达时间的影响。下一步改进措施：一是合理编制项目预算。为了有效利用财政资金，进一步合理编制项目预算，提高财政资金使用效率；二是努力提高专业素质。需要参与预算绩效管理工作的人员努力提高自身专业素质,确保绩效评价质量。具体附项目支出绩效自评表。</w:t>
      </w:r>
    </w:p>
    <w:p w14:paraId="044C2C4B">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outlineLvl w:val="1"/>
        <w:rPr>
          <w:rFonts w:hint="eastAsia" w:ascii="黑体" w:hAnsi="黑体" w:eastAsia="黑体" w:cs="宋体"/>
          <w:bCs/>
          <w:kern w:val="0"/>
          <w:sz w:val="32"/>
          <w:szCs w:val="32"/>
          <w:lang w:val="en-US" w:eastAsia="zh-CN"/>
        </w:rPr>
      </w:pPr>
      <w:r>
        <w:rPr>
          <w:rFonts w:hint="eastAsia" w:ascii="黑体" w:hAnsi="黑体" w:eastAsia="黑体" w:cs="宋体"/>
          <w:bCs/>
          <w:kern w:val="0"/>
          <w:sz w:val="32"/>
          <w:szCs w:val="32"/>
          <w:lang w:val="en-US" w:eastAsia="zh-CN"/>
        </w:rPr>
        <w:t>十二、其他需说明的事项</w:t>
      </w:r>
    </w:p>
    <w:p w14:paraId="7E0D11BB">
      <w:pPr>
        <w:keepNext w:val="0"/>
        <w:keepLines w:val="0"/>
        <w:pageBreakBefore w:val="0"/>
        <w:widowControl w:val="0"/>
        <w:kinsoku/>
        <w:wordWrap/>
        <w:overflowPunct/>
        <w:topLinePunct w:val="0"/>
        <w:autoSpaceDE/>
        <w:autoSpaceDN/>
        <w:bidi w:val="0"/>
        <w:adjustRightInd/>
        <w:snapToGrid/>
        <w:spacing w:after="0"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本单位无其他需说明的事项。</w:t>
      </w:r>
    </w:p>
    <w:p w14:paraId="22E7DE0F">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p>
    <w:p w14:paraId="4ACDD011">
      <w:pPr>
        <w:keepNext w:val="0"/>
        <w:keepLines w:val="0"/>
        <w:pageBreakBefore w:val="0"/>
        <w:kinsoku/>
        <w:wordWrap/>
        <w:overflowPunct/>
        <w:topLinePunct w:val="0"/>
        <w:autoSpaceDE/>
        <w:autoSpaceDN/>
        <w:bidi w:val="0"/>
        <w:adjustRightInd/>
        <w:snapToGrid/>
        <w:spacing w:line="240" w:lineRule="auto"/>
        <w:textAlignment w:val="auto"/>
      </w:pPr>
      <w:r>
        <w:rPr>
          <w:sz w:val="0"/>
          <w:szCs w:val="0"/>
        </w:rPr>
        <w:br w:type="page"/>
      </w:r>
    </w:p>
    <w:p w14:paraId="387AC8B3">
      <w:pPr>
        <w:keepNext w:val="0"/>
        <w:keepLines w:val="0"/>
        <w:pageBreakBefore w:val="0"/>
        <w:kinsoku/>
        <w:wordWrap/>
        <w:overflowPunct/>
        <w:topLinePunct w:val="0"/>
        <w:autoSpaceDE/>
        <w:autoSpaceDN/>
        <w:bidi w:val="0"/>
        <w:adjustRightInd/>
        <w:snapToGrid/>
        <w:spacing w:line="240" w:lineRule="auto"/>
        <w:jc w:val="center"/>
        <w:textAlignment w:val="auto"/>
        <w:outlineLvl w:val="0"/>
        <w:rPr>
          <w:rFonts w:ascii="黑体" w:eastAsia="黑体"/>
          <w:sz w:val="32"/>
          <w:szCs w:val="32"/>
        </w:rPr>
      </w:pPr>
      <w:r>
        <w:rPr>
          <w:rFonts w:ascii="黑体" w:eastAsia="黑体"/>
          <w:sz w:val="32"/>
          <w:szCs w:val="32"/>
        </w:rPr>
        <w:t>第三部分 专业名词解释</w:t>
      </w:r>
    </w:p>
    <w:p w14:paraId="08E35D84">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指单位本年度从同级财政部门取得的财政拨款，包括一般公共预算财政拨款、政府性基金预算财政拨款和国有资本经营预算财政拨款。</w:t>
      </w:r>
    </w:p>
    <w:p w14:paraId="6D5CA2D8">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511711C8">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指事业单位开展专业业务活动及其辅助活动取得的收入。</w:t>
      </w:r>
    </w:p>
    <w:p w14:paraId="52385D71">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597AF974">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指事业单位附属独立核算单位按照有关规定上缴的收入。</w:t>
      </w:r>
    </w:p>
    <w:p w14:paraId="1BF53088">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指单位取得的除上述“财政拨款收入”“上级补助收入”“事业收入”“经营收入”“附属单位上缴收入”以外的各项收入。</w:t>
      </w:r>
    </w:p>
    <w:p w14:paraId="0748E2EE">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指单位上年结转本年使用的基本支出结转、项目支出结转和结余、经营结余。</w:t>
      </w:r>
    </w:p>
    <w:p w14:paraId="341D4E7D">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sz w:val="32"/>
          <w:szCs w:val="32"/>
        </w:rPr>
        <w:t>指单位按照预算管理要求使用非财政拨款结余弥补收支差额的金额，以及使用专用结余安排支出的金额。</w:t>
      </w:r>
    </w:p>
    <w:p w14:paraId="6673EC90">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九、结余分配</w:t>
      </w:r>
      <w:r>
        <w:rPr>
          <w:rFonts w:ascii="仿宋_GB2312" w:eastAsia="仿宋_GB2312"/>
          <w:sz w:val="32"/>
          <w:szCs w:val="32"/>
        </w:rPr>
        <w:t>：指单位缴纳企业所得税以及从非财政拨款结余或经营结余中提取各类结余的情况。</w:t>
      </w:r>
    </w:p>
    <w:p w14:paraId="42112145">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十、年末结转和结余</w:t>
      </w:r>
      <w:r>
        <w:rPr>
          <w:rFonts w:ascii="仿宋_GB2312" w:eastAsia="仿宋_GB2312"/>
          <w:sz w:val="32"/>
          <w:szCs w:val="32"/>
        </w:rPr>
        <w:t>：指单位结转下年的基本支出结转、项目支出结转和结余、经营结余。</w:t>
      </w:r>
    </w:p>
    <w:p w14:paraId="13ECDA1E">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十一、基本支出</w:t>
      </w:r>
      <w:r>
        <w:rPr>
          <w:rFonts w:ascii="仿宋_GB2312" w:eastAsia="仿宋_GB2312"/>
          <w:sz w:val="32"/>
          <w:szCs w:val="32"/>
        </w:rPr>
        <w:t>：指单位为保障机构正常运转、完成日常工作任务而发生的各项支出。</w:t>
      </w:r>
    </w:p>
    <w:p w14:paraId="340022FE">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十二、项目支出：</w:t>
      </w:r>
      <w:r>
        <w:rPr>
          <w:rFonts w:ascii="仿宋_GB2312" w:eastAsia="仿宋_GB2312"/>
          <w:sz w:val="32"/>
          <w:szCs w:val="32"/>
        </w:rPr>
        <w:t>指单位为完成特定的行政工作任务或事业发展目标，在基本支出之外发生的各项支出。</w:t>
      </w:r>
    </w:p>
    <w:p w14:paraId="226B0C15">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十三、上缴上级支出：</w:t>
      </w:r>
      <w:r>
        <w:rPr>
          <w:rFonts w:ascii="仿宋_GB2312" w:eastAsia="仿宋_GB2312"/>
          <w:sz w:val="32"/>
          <w:szCs w:val="32"/>
        </w:rPr>
        <w:t>指事业单位按照财政部门和主管部门的规定上缴上级单位的支出。</w:t>
      </w:r>
    </w:p>
    <w:p w14:paraId="65AE72E3">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十四、经营支出：</w:t>
      </w:r>
      <w:r>
        <w:rPr>
          <w:rFonts w:ascii="仿宋_GB2312" w:eastAsia="仿宋_GB2312"/>
          <w:sz w:val="32"/>
          <w:szCs w:val="32"/>
        </w:rPr>
        <w:t>指事业单位在专业活动及辅助活动之外开展非独立核算经营活动发生的支出。</w:t>
      </w:r>
    </w:p>
    <w:p w14:paraId="320D1F02">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宋体" w:eastAsia="仿宋_GB2312"/>
          <w:sz w:val="32"/>
          <w:szCs w:val="32"/>
        </w:rPr>
      </w:pPr>
      <w:r>
        <w:rPr>
          <w:rFonts w:ascii="宋体" w:eastAsia="仿宋_GB2312"/>
          <w:b/>
          <w:sz w:val="32"/>
          <w:szCs w:val="32"/>
        </w:rPr>
        <w:t>十五、对附属单位补助支出：</w:t>
      </w:r>
      <w:r>
        <w:rPr>
          <w:rFonts w:ascii="宋体" w:eastAsia="仿宋_GB2312"/>
          <w:sz w:val="32"/>
          <w:szCs w:val="32"/>
        </w:rPr>
        <w:t>指事业单位用财政补助收入之外的收入对附属单位补助发生的支出。</w:t>
      </w:r>
    </w:p>
    <w:p w14:paraId="3BBAB08E">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十六、“三公”经费：</w:t>
      </w:r>
      <w:r>
        <w:rPr>
          <w:rFonts w:ascii="仿宋_GB2312" w:eastAsia="仿宋_GB2312"/>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FEE63A5">
      <w:pPr>
        <w:keepNext w:val="0"/>
        <w:keepLines w:val="0"/>
        <w:pageBreakBefore w:val="0"/>
        <w:kinsoku/>
        <w:wordWrap/>
        <w:overflowPunct/>
        <w:topLinePunct w:val="0"/>
        <w:autoSpaceDE/>
        <w:autoSpaceDN/>
        <w:bidi w:val="0"/>
        <w:adjustRightInd/>
        <w:snapToGrid/>
        <w:spacing w:line="240" w:lineRule="auto"/>
        <w:ind w:firstLine="643" w:firstLineChars="200"/>
        <w:textAlignment w:val="auto"/>
        <w:rPr>
          <w:rFonts w:ascii="仿宋_GB2312" w:eastAsia="仿宋_GB2312"/>
          <w:sz w:val="32"/>
          <w:szCs w:val="32"/>
        </w:rPr>
      </w:pPr>
      <w:r>
        <w:rPr>
          <w:rFonts w:ascii="仿宋_GB2312" w:eastAsia="仿宋_GB2312"/>
          <w:b/>
          <w:sz w:val="32"/>
          <w:szCs w:val="32"/>
        </w:rPr>
        <w:t>十七、机关运行经费：</w:t>
      </w:r>
      <w:r>
        <w:rPr>
          <w:rFonts w:ascii="仿宋_GB2312" w:eastAsia="仿宋_GB2312"/>
          <w:sz w:val="32"/>
          <w:szCs w:val="32"/>
        </w:rPr>
        <w:t>指行政单位和参照公务员法管理的事业单位财政拨款基本支出中的公用经费支出。</w:t>
      </w:r>
    </w:p>
    <w:p w14:paraId="5F40DC85">
      <w:pPr>
        <w:keepNext w:val="0"/>
        <w:keepLines w:val="0"/>
        <w:pageBreakBefore w:val="0"/>
        <w:kinsoku/>
        <w:wordWrap/>
        <w:overflowPunct/>
        <w:topLinePunct w:val="0"/>
        <w:autoSpaceDE/>
        <w:autoSpaceDN/>
        <w:bidi w:val="0"/>
        <w:adjustRightInd/>
        <w:snapToGrid/>
        <w:spacing w:line="240" w:lineRule="auto"/>
        <w:textAlignment w:val="auto"/>
      </w:pPr>
      <w:r>
        <w:rPr>
          <w:sz w:val="0"/>
          <w:szCs w:val="0"/>
        </w:rPr>
        <w:br w:type="page"/>
      </w:r>
    </w:p>
    <w:p w14:paraId="4E03F2FE">
      <w:pPr>
        <w:keepNext w:val="0"/>
        <w:keepLines w:val="0"/>
        <w:pageBreakBefore w:val="0"/>
        <w:kinsoku/>
        <w:wordWrap/>
        <w:overflowPunct/>
        <w:topLinePunct w:val="0"/>
        <w:autoSpaceDE/>
        <w:autoSpaceDN/>
        <w:bidi w:val="0"/>
        <w:adjustRightInd/>
        <w:snapToGrid/>
        <w:spacing w:line="240" w:lineRule="auto"/>
        <w:jc w:val="center"/>
        <w:textAlignment w:val="auto"/>
        <w:outlineLvl w:val="0"/>
        <w:rPr>
          <w:rFonts w:ascii="黑体" w:eastAsia="黑体"/>
          <w:sz w:val="32"/>
          <w:szCs w:val="32"/>
        </w:rPr>
      </w:pPr>
      <w:r>
        <w:rPr>
          <w:rFonts w:ascii="黑体" w:eastAsia="黑体"/>
          <w:sz w:val="32"/>
          <w:szCs w:val="32"/>
        </w:rPr>
        <w:t>第四部分 部门决算报表（见附表）</w:t>
      </w:r>
    </w:p>
    <w:p w14:paraId="600F1259">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ascii="仿宋_GB2312" w:eastAsia="仿宋_GB2312"/>
          <w:sz w:val="32"/>
          <w:szCs w:val="32"/>
        </w:rPr>
      </w:pPr>
      <w:r>
        <w:rPr>
          <w:rFonts w:ascii="仿宋_GB2312" w:eastAsia="仿宋_GB2312"/>
          <w:sz w:val="32"/>
          <w:szCs w:val="32"/>
        </w:rPr>
        <w:t>一、《收入支出决算总表》</w:t>
      </w:r>
    </w:p>
    <w:p w14:paraId="06F5E9B3">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ascii="仿宋_GB2312" w:eastAsia="仿宋_GB2312"/>
          <w:sz w:val="32"/>
          <w:szCs w:val="32"/>
        </w:rPr>
      </w:pPr>
      <w:r>
        <w:rPr>
          <w:rFonts w:ascii="仿宋_GB2312" w:eastAsia="仿宋_GB2312"/>
          <w:sz w:val="32"/>
          <w:szCs w:val="32"/>
        </w:rPr>
        <w:t>二、《收入决算表》</w:t>
      </w:r>
    </w:p>
    <w:p w14:paraId="265ACC6A">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ascii="仿宋_GB2312" w:eastAsia="仿宋_GB2312"/>
          <w:sz w:val="32"/>
          <w:szCs w:val="32"/>
        </w:rPr>
      </w:pPr>
      <w:r>
        <w:rPr>
          <w:rFonts w:ascii="仿宋_GB2312" w:eastAsia="仿宋_GB2312"/>
          <w:sz w:val="32"/>
          <w:szCs w:val="32"/>
        </w:rPr>
        <w:t>三、《支出决算表》</w:t>
      </w:r>
    </w:p>
    <w:p w14:paraId="6FF968D9">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ascii="仿宋_GB2312" w:eastAsia="仿宋_GB2312"/>
          <w:sz w:val="32"/>
          <w:szCs w:val="32"/>
        </w:rPr>
      </w:pPr>
      <w:r>
        <w:rPr>
          <w:rFonts w:ascii="仿宋_GB2312" w:eastAsia="仿宋_GB2312"/>
          <w:sz w:val="32"/>
          <w:szCs w:val="32"/>
        </w:rPr>
        <w:t>四、《财政拨款收入支出决算总表》</w:t>
      </w:r>
    </w:p>
    <w:p w14:paraId="2A3BBD5F">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ascii="仿宋_GB2312" w:eastAsia="仿宋_GB2312"/>
          <w:sz w:val="32"/>
          <w:szCs w:val="32"/>
        </w:rPr>
      </w:pPr>
      <w:r>
        <w:rPr>
          <w:rFonts w:ascii="仿宋_GB2312" w:eastAsia="仿宋_GB2312"/>
          <w:sz w:val="32"/>
          <w:szCs w:val="32"/>
        </w:rPr>
        <w:t>五、《一般公共预算财政拨款支出决算表》</w:t>
      </w:r>
    </w:p>
    <w:p w14:paraId="153C54A7">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ascii="仿宋_GB2312" w:eastAsia="仿宋_GB2312"/>
          <w:sz w:val="32"/>
          <w:szCs w:val="32"/>
        </w:rPr>
      </w:pPr>
      <w:r>
        <w:rPr>
          <w:rFonts w:ascii="仿宋_GB2312" w:eastAsia="仿宋_GB2312"/>
          <w:sz w:val="32"/>
          <w:szCs w:val="32"/>
        </w:rPr>
        <w:t>六、《一般公共预算财政拨款基本支出决算表》</w:t>
      </w:r>
    </w:p>
    <w:p w14:paraId="560EC23E">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ascii="仿宋_GB2312" w:eastAsia="仿宋_GB2312"/>
          <w:sz w:val="32"/>
          <w:szCs w:val="32"/>
        </w:rPr>
      </w:pPr>
      <w:r>
        <w:rPr>
          <w:rFonts w:ascii="仿宋_GB2312" w:eastAsia="仿宋_GB2312"/>
          <w:sz w:val="32"/>
          <w:szCs w:val="32"/>
        </w:rPr>
        <w:t>七、《政府性基金预算财政拨款收入支出决算表》</w:t>
      </w:r>
    </w:p>
    <w:p w14:paraId="09D47359">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0FF9A5E3">
      <w:pPr>
        <w:keepNext w:val="0"/>
        <w:keepLines w:val="0"/>
        <w:pageBreakBefore w:val="0"/>
        <w:kinsoku/>
        <w:wordWrap/>
        <w:overflowPunct/>
        <w:topLinePunct w:val="0"/>
        <w:autoSpaceDE/>
        <w:autoSpaceDN/>
        <w:bidi w:val="0"/>
        <w:adjustRightInd/>
        <w:snapToGrid/>
        <w:spacing w:line="240" w:lineRule="auto"/>
        <w:ind w:firstLine="640" w:firstLineChars="200"/>
        <w:textAlignment w:val="auto"/>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ODViY2JkMjU3NGYzZTEwMzZmMGFkZWViYmNkYWU3NDIifQ=="/>
  </w:docVars>
  <w:rsids>
    <w:rsidRoot w:val="00F42C7B"/>
    <w:rsid w:val="001113BD"/>
    <w:rsid w:val="0031380D"/>
    <w:rsid w:val="00A67D58"/>
    <w:rsid w:val="00E20FB5"/>
    <w:rsid w:val="00F42C7B"/>
    <w:rsid w:val="01E21263"/>
    <w:rsid w:val="01E74ACC"/>
    <w:rsid w:val="02D0730E"/>
    <w:rsid w:val="03A8028B"/>
    <w:rsid w:val="04D70E27"/>
    <w:rsid w:val="08202AE5"/>
    <w:rsid w:val="082276C9"/>
    <w:rsid w:val="08D062B9"/>
    <w:rsid w:val="09023F99"/>
    <w:rsid w:val="092403B3"/>
    <w:rsid w:val="096D58B6"/>
    <w:rsid w:val="0AE6027D"/>
    <w:rsid w:val="0AE61DC4"/>
    <w:rsid w:val="0B2428ED"/>
    <w:rsid w:val="0D3112F1"/>
    <w:rsid w:val="0D3C216F"/>
    <w:rsid w:val="10634FAD"/>
    <w:rsid w:val="10B95885"/>
    <w:rsid w:val="10E072B6"/>
    <w:rsid w:val="11F944CA"/>
    <w:rsid w:val="14042F6C"/>
    <w:rsid w:val="1568787A"/>
    <w:rsid w:val="15C2342E"/>
    <w:rsid w:val="16726C02"/>
    <w:rsid w:val="17141A67"/>
    <w:rsid w:val="1768590F"/>
    <w:rsid w:val="17EE050A"/>
    <w:rsid w:val="198D5B01"/>
    <w:rsid w:val="19C63549"/>
    <w:rsid w:val="1AC13CB4"/>
    <w:rsid w:val="1B4F7512"/>
    <w:rsid w:val="1D2F75FB"/>
    <w:rsid w:val="1F8E5386"/>
    <w:rsid w:val="1FCD30FB"/>
    <w:rsid w:val="213D1BBA"/>
    <w:rsid w:val="215A276C"/>
    <w:rsid w:val="22477195"/>
    <w:rsid w:val="22A94777"/>
    <w:rsid w:val="23671171"/>
    <w:rsid w:val="239D0BF4"/>
    <w:rsid w:val="240E0337"/>
    <w:rsid w:val="258C471F"/>
    <w:rsid w:val="26D22DA5"/>
    <w:rsid w:val="2B8856B6"/>
    <w:rsid w:val="2BE21CDC"/>
    <w:rsid w:val="2DF31F7F"/>
    <w:rsid w:val="2E725599"/>
    <w:rsid w:val="2EE31FF3"/>
    <w:rsid w:val="30071129"/>
    <w:rsid w:val="31046251"/>
    <w:rsid w:val="344F1ED9"/>
    <w:rsid w:val="352B64A2"/>
    <w:rsid w:val="36F823B4"/>
    <w:rsid w:val="390A2872"/>
    <w:rsid w:val="39E210F9"/>
    <w:rsid w:val="3A485400"/>
    <w:rsid w:val="3AF64E5C"/>
    <w:rsid w:val="3BDD7DCA"/>
    <w:rsid w:val="3C4340D1"/>
    <w:rsid w:val="3C814BF9"/>
    <w:rsid w:val="3CB60D47"/>
    <w:rsid w:val="3CFF417E"/>
    <w:rsid w:val="3D483969"/>
    <w:rsid w:val="3E4F1453"/>
    <w:rsid w:val="3E6447D3"/>
    <w:rsid w:val="3ECA6D2C"/>
    <w:rsid w:val="3F364F8B"/>
    <w:rsid w:val="3FFD5B89"/>
    <w:rsid w:val="40F0234E"/>
    <w:rsid w:val="42552DB0"/>
    <w:rsid w:val="444906F3"/>
    <w:rsid w:val="44C22253"/>
    <w:rsid w:val="468C48C7"/>
    <w:rsid w:val="487A72F4"/>
    <w:rsid w:val="4914044E"/>
    <w:rsid w:val="49E8450A"/>
    <w:rsid w:val="4A3E05CE"/>
    <w:rsid w:val="4F4C25C9"/>
    <w:rsid w:val="4F6B59C1"/>
    <w:rsid w:val="4F711F6A"/>
    <w:rsid w:val="4FEE03A0"/>
    <w:rsid w:val="4FFF0C5A"/>
    <w:rsid w:val="508F3931"/>
    <w:rsid w:val="520F42B6"/>
    <w:rsid w:val="544D1B39"/>
    <w:rsid w:val="556A671B"/>
    <w:rsid w:val="55BD684B"/>
    <w:rsid w:val="57C54C06"/>
    <w:rsid w:val="58F74774"/>
    <w:rsid w:val="5A296BA4"/>
    <w:rsid w:val="5B721E85"/>
    <w:rsid w:val="5BCA3A6F"/>
    <w:rsid w:val="5C2D3FFE"/>
    <w:rsid w:val="5C4E644E"/>
    <w:rsid w:val="5E693A13"/>
    <w:rsid w:val="5E6C52B2"/>
    <w:rsid w:val="5FE61094"/>
    <w:rsid w:val="60BD3BA3"/>
    <w:rsid w:val="60CC028A"/>
    <w:rsid w:val="61A42FB4"/>
    <w:rsid w:val="61DA69D6"/>
    <w:rsid w:val="62A25746"/>
    <w:rsid w:val="643E324C"/>
    <w:rsid w:val="66644AC0"/>
    <w:rsid w:val="66C537B1"/>
    <w:rsid w:val="6764121C"/>
    <w:rsid w:val="6AAD2EDA"/>
    <w:rsid w:val="6AB73D58"/>
    <w:rsid w:val="6AB778B5"/>
    <w:rsid w:val="6BCF6E80"/>
    <w:rsid w:val="6BF6265F"/>
    <w:rsid w:val="6CAE4CE7"/>
    <w:rsid w:val="6F685621"/>
    <w:rsid w:val="6FF944CB"/>
    <w:rsid w:val="711C66C3"/>
    <w:rsid w:val="72F01BB6"/>
    <w:rsid w:val="751C53CA"/>
    <w:rsid w:val="764741E2"/>
    <w:rsid w:val="77A318EC"/>
    <w:rsid w:val="7899684C"/>
    <w:rsid w:val="798017B9"/>
    <w:rsid w:val="79B06543"/>
    <w:rsid w:val="7D3B093C"/>
    <w:rsid w:val="7D8555F0"/>
    <w:rsid w:val="7E026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annotation text"/>
    <w:basedOn w:val="1"/>
    <w:semiHidden/>
    <w:unhideWhenUsed/>
    <w:qFormat/>
    <w:uiPriority w:val="99"/>
    <w:pPr>
      <w:jc w:val="left"/>
    </w:pPr>
  </w:style>
  <w:style w:type="paragraph" w:styleId="9">
    <w:name w:val="footer"/>
    <w:basedOn w:val="1"/>
    <w:link w:val="25"/>
    <w:semiHidden/>
    <w:unhideWhenUsed/>
    <w:qFormat/>
    <w:uiPriority w:val="99"/>
    <w:pPr>
      <w:tabs>
        <w:tab w:val="center" w:pos="4153"/>
        <w:tab w:val="right" w:pos="8306"/>
      </w:tabs>
      <w:snapToGrid w:val="0"/>
      <w:spacing w:line="240" w:lineRule="auto"/>
    </w:pPr>
    <w:rPr>
      <w:sz w:val="18"/>
      <w:szCs w:val="18"/>
    </w:rPr>
  </w:style>
  <w:style w:type="paragraph" w:styleId="10">
    <w:name w:val="header"/>
    <w:basedOn w:val="1"/>
    <w:link w:val="18"/>
    <w:unhideWhenUsed/>
    <w:qFormat/>
    <w:uiPriority w:val="99"/>
    <w:pPr>
      <w:tabs>
        <w:tab w:val="center" w:pos="4680"/>
        <w:tab w:val="right" w:pos="9360"/>
      </w:tabs>
    </w:pPr>
  </w:style>
  <w:style w:type="paragraph" w:styleId="11">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2">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4">
    <w:name w:val="Table Grid"/>
    <w:basedOn w:val="13"/>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Emphasis"/>
    <w:basedOn w:val="15"/>
    <w:qFormat/>
    <w:uiPriority w:val="20"/>
    <w:rPr>
      <w:i/>
      <w:iCs/>
    </w:rPr>
  </w:style>
  <w:style w:type="character" w:styleId="17">
    <w:name w:val="Hyperlink"/>
    <w:basedOn w:val="15"/>
    <w:unhideWhenUsed/>
    <w:qFormat/>
    <w:uiPriority w:val="99"/>
    <w:rPr>
      <w:color w:val="0000FF" w:themeColor="hyperlink"/>
      <w:u w:val="single"/>
    </w:rPr>
  </w:style>
  <w:style w:type="character" w:customStyle="1" w:styleId="18">
    <w:name w:val="页眉 Char"/>
    <w:basedOn w:val="15"/>
    <w:link w:val="10"/>
    <w:qFormat/>
    <w:uiPriority w:val="99"/>
  </w:style>
  <w:style w:type="character" w:customStyle="1" w:styleId="19">
    <w:name w:val="标题 1 Char"/>
    <w:basedOn w:val="15"/>
    <w:link w:val="2"/>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5"/>
    <w:link w:val="3"/>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5"/>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5"/>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5"/>
    <w:link w:val="11"/>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5"/>
    <w:link w:val="12"/>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Char"/>
    <w:basedOn w:val="15"/>
    <w:link w:val="9"/>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5705</Words>
  <Characters>6402</Characters>
  <Lines>46</Lines>
  <Paragraphs>13</Paragraphs>
  <TotalTime>10</TotalTime>
  <ScaleCrop>false</ScaleCrop>
  <LinksUpToDate>false</LinksUpToDate>
  <CharactersWithSpaces>6410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2026-08-19T02:25:00Z</dcterms:created>
  <dc:creator>caiwushi</dc:creator>
  <cp:lastModifiedBy>雨。</cp:lastModifiedBy>
  <dcterms:modified xsi:type="dcterms:W3CDTF">2026-08-29T12:22:42Z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F8919681AD5E41AB8377351E00AA2449_12</vt:lpwstr>
  </property>
  <property fmtid="{D5CDD505-2E9C-101B-9397-08002B2CF9AE}" pid="4" name="KSOTemplateDocerSaveRecord">
    <vt:lpwstr>eyJoZGlkIjoiYTZjZThjMDFjYjU0NDRjYWE1YjFlZmFjNmU0NDBiYTgiLCJ1c2VySWQiOiI0NjExNzA3OTgifQ==</vt:lpwstr>
  </property>
</Properties>
</file>