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5BC76D">
      <w:pPr>
        <w:widowControl/>
        <w:spacing w:before="0" w:beforeLines="0" w:beforeAutospacing="0" w:after="0" w:afterLines="0" w:afterAutospacing="0" w:line="240" w:lineRule="auto"/>
        <w:jc w:val="left"/>
        <w:rPr>
          <w:rFonts w:ascii="宋体" w:eastAsia="宋体"/>
          <w:sz w:val="32"/>
          <w:szCs w:val="32"/>
          <w:highlight w:val="none"/>
        </w:rPr>
      </w:pPr>
    </w:p>
    <w:p w14:paraId="43722C25">
      <w:pPr>
        <w:widowControl/>
        <w:spacing w:before="0" w:beforeLines="0" w:beforeAutospacing="0" w:after="0" w:afterLines="0" w:afterAutospacing="0" w:line="240" w:lineRule="auto"/>
        <w:jc w:val="left"/>
        <w:rPr>
          <w:rFonts w:ascii="宋体" w:eastAsia="宋体"/>
          <w:sz w:val="44"/>
          <w:szCs w:val="44"/>
          <w:highlight w:val="none"/>
        </w:rPr>
      </w:pPr>
    </w:p>
    <w:p w14:paraId="23B22058">
      <w:pPr>
        <w:widowControl/>
        <w:spacing w:before="0" w:beforeLines="0" w:beforeAutospacing="0" w:after="0" w:afterLines="0" w:afterAutospacing="0" w:line="240" w:lineRule="auto"/>
        <w:jc w:val="left"/>
        <w:rPr>
          <w:rFonts w:ascii="宋体" w:eastAsia="宋体"/>
          <w:sz w:val="44"/>
          <w:szCs w:val="44"/>
          <w:highlight w:val="none"/>
        </w:rPr>
      </w:pPr>
    </w:p>
    <w:p w14:paraId="47650715">
      <w:pPr>
        <w:widowControl/>
        <w:spacing w:before="0" w:beforeLines="0" w:beforeAutospacing="0" w:after="0" w:afterLines="0" w:afterAutospacing="0" w:line="240" w:lineRule="auto"/>
        <w:jc w:val="left"/>
        <w:rPr>
          <w:rFonts w:ascii="宋体" w:eastAsia="宋体"/>
          <w:sz w:val="44"/>
          <w:szCs w:val="44"/>
          <w:highlight w:val="none"/>
        </w:rPr>
      </w:pPr>
    </w:p>
    <w:p w14:paraId="0113B2C5">
      <w:pPr>
        <w:widowControl/>
        <w:spacing w:before="0" w:beforeLines="0" w:beforeAutospacing="0" w:after="0" w:afterLines="0" w:afterAutospacing="0" w:line="240" w:lineRule="auto"/>
        <w:jc w:val="center"/>
        <w:outlineLvl w:val="0"/>
        <w:rPr>
          <w:rFonts w:ascii="宋体" w:eastAsia="黑体"/>
          <w:sz w:val="44"/>
          <w:szCs w:val="44"/>
          <w:highlight w:val="none"/>
        </w:rPr>
      </w:pPr>
      <w:r>
        <w:rPr>
          <w:rFonts w:ascii="宋体" w:eastAsia="黑体"/>
          <w:b w:val="0"/>
          <w:sz w:val="44"/>
          <w:szCs w:val="44"/>
          <w:highlight w:val="none"/>
        </w:rPr>
        <w:t>新疆维吾尔自治区科技资源共享服务中心</w:t>
      </w:r>
    </w:p>
    <w:p w14:paraId="2F1807A2">
      <w:pPr>
        <w:widowControl/>
        <w:spacing w:before="0" w:beforeLines="0" w:beforeAutospacing="0" w:after="0" w:afterLines="0" w:afterAutospacing="0" w:line="240" w:lineRule="auto"/>
        <w:jc w:val="center"/>
        <w:outlineLvl w:val="0"/>
        <w:rPr>
          <w:rFonts w:ascii="黑体" w:eastAsia="黑体"/>
          <w:sz w:val="44"/>
          <w:szCs w:val="44"/>
          <w:highlight w:val="none"/>
        </w:rPr>
      </w:pPr>
      <w:r>
        <w:rPr>
          <w:rFonts w:ascii="黑体" w:eastAsia="黑体"/>
          <w:b w:val="0"/>
          <w:sz w:val="44"/>
          <w:szCs w:val="44"/>
          <w:highlight w:val="none"/>
        </w:rPr>
        <w:t>2025年度部门决算公开说明</w:t>
      </w:r>
    </w:p>
    <w:p w14:paraId="4E0AF921">
      <w:pPr>
        <w:widowControl/>
        <w:rPr>
          <w:highlight w:val="none"/>
        </w:rPr>
      </w:pPr>
      <w:r>
        <w:rPr>
          <w:b w:val="0"/>
          <w:sz w:val="0"/>
          <w:szCs w:val="0"/>
          <w:highlight w:val="none"/>
        </w:rPr>
        <w:br w:type="page"/>
      </w:r>
    </w:p>
    <w:p w14:paraId="6B0760D2">
      <w:pPr>
        <w:widowControl/>
        <w:spacing w:before="0" w:beforeLines="0" w:beforeAutospacing="0" w:after="0" w:afterLines="0" w:afterAutospacing="0" w:line="240" w:lineRule="auto"/>
        <w:jc w:val="center"/>
        <w:rPr>
          <w:rFonts w:ascii="黑体" w:eastAsia="黑体"/>
          <w:sz w:val="32"/>
          <w:szCs w:val="32"/>
          <w:highlight w:val="none"/>
        </w:rPr>
      </w:pPr>
      <w:r>
        <w:rPr>
          <w:rFonts w:ascii="黑体" w:eastAsia="黑体"/>
          <w:b/>
          <w:sz w:val="32"/>
          <w:szCs w:val="32"/>
          <w:highlight w:val="none"/>
        </w:rPr>
        <w:t>目 录</w:t>
      </w:r>
    </w:p>
    <w:p w14:paraId="7A3229F9">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sz w:val="32"/>
          <w:szCs w:val="32"/>
          <w:highlight w:val="none"/>
        </w:rPr>
        <w:t>第一部分单位概况</w:t>
      </w:r>
    </w:p>
    <w:p w14:paraId="6A027260">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一、主要职能</w:t>
      </w:r>
    </w:p>
    <w:p w14:paraId="3EE0442E">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二、机构设置</w:t>
      </w:r>
    </w:p>
    <w:p w14:paraId="6D455697">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sz w:val="32"/>
          <w:szCs w:val="32"/>
          <w:highlight w:val="none"/>
        </w:rPr>
        <w:t>第二部分 部门决算情况说明</w:t>
      </w:r>
    </w:p>
    <w:p w14:paraId="2BE3C0B1">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一、收入支出决算总体情况说明</w:t>
      </w:r>
    </w:p>
    <w:p w14:paraId="47E4949F">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二、收入决算情况说明</w:t>
      </w:r>
    </w:p>
    <w:p w14:paraId="2E577A0B">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三、支出决算情况说明</w:t>
      </w:r>
    </w:p>
    <w:p w14:paraId="4460E551">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四、财政拨款收入支出决算总体情况说明</w:t>
      </w:r>
    </w:p>
    <w:p w14:paraId="4E10537C">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五、一般公共预算财政拨款支出决算情况说明</w:t>
      </w:r>
    </w:p>
    <w:p w14:paraId="639F3FF8">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（一）一般公共预算财政拨款支出决算总体情况</w:t>
      </w:r>
    </w:p>
    <w:p w14:paraId="32095695">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（二）一般公共预算财政拨款支出决算结构情况</w:t>
      </w:r>
    </w:p>
    <w:p w14:paraId="6BB68CF3">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（三）一般公共预算财政拨款支出决算具体情况</w:t>
      </w:r>
    </w:p>
    <w:p w14:paraId="042F14DF">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六、一般公共预算财政拨款基本支出决算情况说明</w:t>
      </w:r>
    </w:p>
    <w:p w14:paraId="3B0C0E85">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七、政府性基金预算财政拨款收入支出决算情况说明</w:t>
      </w:r>
    </w:p>
    <w:p w14:paraId="15254BFE">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八、国有资本经营预算财政拨款收入支出决算情况说明</w:t>
      </w:r>
    </w:p>
    <w:p w14:paraId="445AB988">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九、财政拨款“三公”经费支出决算情况说明</w:t>
      </w:r>
    </w:p>
    <w:p w14:paraId="33D25946">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十、其他重要事项的情况说明</w:t>
      </w:r>
    </w:p>
    <w:p w14:paraId="0358C790">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（一）机关运行经费及公用经费支出情况</w:t>
      </w:r>
    </w:p>
    <w:p w14:paraId="4B6EFD13">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（二）政府采购情况</w:t>
      </w:r>
    </w:p>
    <w:p w14:paraId="12D53D7F">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（三）国有资产占用情况说明</w:t>
      </w:r>
    </w:p>
    <w:p w14:paraId="2695BEF4">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十一、预算绩效的情况说明</w:t>
      </w:r>
    </w:p>
    <w:p w14:paraId="19AC6333">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十二、其他需说明的事项</w:t>
      </w:r>
    </w:p>
    <w:p w14:paraId="3507B3AD">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sz w:val="32"/>
          <w:szCs w:val="32"/>
          <w:highlight w:val="none"/>
        </w:rPr>
        <w:t>第三部分 专业名词解释</w:t>
      </w:r>
    </w:p>
    <w:p w14:paraId="68890E63">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sz w:val="32"/>
          <w:szCs w:val="32"/>
          <w:highlight w:val="none"/>
        </w:rPr>
        <w:t>第四部分 部门决算报表（见附表）</w:t>
      </w:r>
    </w:p>
    <w:p w14:paraId="6BBB066C">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一、《收入支出决算总表》</w:t>
      </w:r>
    </w:p>
    <w:p w14:paraId="2A53FC8D">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二、《收入决算表》</w:t>
      </w:r>
    </w:p>
    <w:p w14:paraId="34C117A5">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三、《支出决算表》</w:t>
      </w:r>
    </w:p>
    <w:p w14:paraId="32B8345D">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四、《财政拨款收入支出决算总表》</w:t>
      </w:r>
    </w:p>
    <w:p w14:paraId="1067CB76">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五、《一般公共预算财政拨款支出决算表》</w:t>
      </w:r>
    </w:p>
    <w:p w14:paraId="384711C8">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六、《一般公共预算财政拨款基本支出决算表》</w:t>
      </w:r>
    </w:p>
    <w:p w14:paraId="431497AC">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七、《政府性基金预算财政拨款收入支出决算表》</w:t>
      </w:r>
    </w:p>
    <w:p w14:paraId="487ABB6D">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八、《国有资本经营预算财政拨款收入支出决算表》</w:t>
      </w:r>
    </w:p>
    <w:p w14:paraId="763586FD">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九、《财政拨款“三公”经费支出决算表》</w:t>
      </w:r>
    </w:p>
    <w:p w14:paraId="2FAE0129">
      <w:pPr>
        <w:widowControl/>
        <w:rPr>
          <w:highlight w:val="none"/>
        </w:rPr>
      </w:pPr>
      <w:r>
        <w:rPr>
          <w:b w:val="0"/>
          <w:sz w:val="0"/>
          <w:szCs w:val="0"/>
          <w:highlight w:val="none"/>
        </w:rPr>
        <w:br w:type="page"/>
      </w:r>
    </w:p>
    <w:p w14:paraId="2B4E82D9">
      <w:pPr>
        <w:widowControl/>
        <w:spacing w:before="0" w:beforeLines="0" w:beforeAutospacing="0" w:after="0" w:afterLines="0" w:afterAutospacing="0" w:line="240" w:lineRule="auto"/>
        <w:jc w:val="center"/>
        <w:outlineLvl w:val="0"/>
        <w:rPr>
          <w:rFonts w:ascii="黑体" w:eastAsia="黑体"/>
          <w:sz w:val="32"/>
          <w:szCs w:val="32"/>
          <w:highlight w:val="none"/>
        </w:rPr>
      </w:pPr>
      <w:r>
        <w:rPr>
          <w:rFonts w:ascii="黑体" w:eastAsia="黑体"/>
          <w:b w:val="0"/>
          <w:sz w:val="32"/>
          <w:szCs w:val="32"/>
          <w:highlight w:val="none"/>
        </w:rPr>
        <w:t>第一部分单位概况</w:t>
      </w:r>
    </w:p>
    <w:p w14:paraId="407B099A">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一、主要职能</w:t>
      </w:r>
    </w:p>
    <w:p w14:paraId="164408AB">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hint="eastAsia" w:ascii="仿宋_GB2312" w:eastAsia="仿宋_GB2312"/>
          <w:b w:val="0"/>
          <w:sz w:val="32"/>
          <w:szCs w:val="32"/>
          <w:highlight w:val="none"/>
          <w:lang w:val="en-US" w:eastAsia="zh-CN"/>
        </w:rPr>
        <w:t>为自治区经济社会发展提供科技资源共享服务。科技资源共享、分析科学领域新技术、新方法推广应用</w:t>
      </w:r>
      <w:r>
        <w:rPr>
          <w:rFonts w:ascii="仿宋_GB2312" w:eastAsia="仿宋_GB2312"/>
          <w:b w:val="0"/>
          <w:sz w:val="32"/>
          <w:szCs w:val="32"/>
          <w:highlight w:val="none"/>
        </w:rPr>
        <w:t>。</w:t>
      </w:r>
    </w:p>
    <w:p w14:paraId="0792F806">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二、机构设置</w:t>
      </w:r>
    </w:p>
    <w:p w14:paraId="519A20E4">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新疆维吾尔自治区科技资源共享服务中心无下属预算单位。</w:t>
      </w:r>
    </w:p>
    <w:p w14:paraId="31077548">
      <w:pPr>
        <w:widowControl/>
        <w:rPr>
          <w:highlight w:val="none"/>
        </w:rPr>
      </w:pPr>
      <w:r>
        <w:rPr>
          <w:b w:val="0"/>
          <w:sz w:val="0"/>
          <w:szCs w:val="0"/>
          <w:highlight w:val="none"/>
        </w:rPr>
        <w:br w:type="page"/>
      </w:r>
    </w:p>
    <w:p w14:paraId="63B532F3">
      <w:pPr>
        <w:widowControl/>
        <w:spacing w:before="0" w:beforeLines="0" w:beforeAutospacing="0" w:after="0" w:afterLines="0" w:afterAutospacing="0" w:line="240" w:lineRule="auto"/>
        <w:jc w:val="center"/>
        <w:outlineLvl w:val="0"/>
        <w:rPr>
          <w:rFonts w:ascii="黑体" w:eastAsia="黑体"/>
          <w:sz w:val="32"/>
          <w:szCs w:val="32"/>
          <w:highlight w:val="none"/>
        </w:rPr>
      </w:pPr>
      <w:r>
        <w:rPr>
          <w:rFonts w:ascii="黑体" w:eastAsia="黑体"/>
          <w:b w:val="0"/>
          <w:sz w:val="32"/>
          <w:szCs w:val="32"/>
          <w:highlight w:val="none"/>
        </w:rPr>
        <w:t>第二部分 部门决算情况说明</w:t>
      </w:r>
    </w:p>
    <w:p w14:paraId="545A7CF3">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一、收入支出决算总体情况说明</w:t>
      </w:r>
    </w:p>
    <w:p w14:paraId="7D702912">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2025年度收入总计5,336.98万元，其中：本年收入合计4,835.81万元，使用非财政拨款结余（含专用结余）0.00万元，年初结转和结余501.17万元。</w:t>
      </w:r>
    </w:p>
    <w:p w14:paraId="6A6BB207">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2025年度支出总计5,336.98万元，其中：本年支出合计4,605.16万元，结余分配539.75万元，年末结转和结余192.07万元。</w:t>
      </w:r>
    </w:p>
    <w:p w14:paraId="4ADEC40D">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收入支出总体与上年相比，减少1,088.25万元，下降16.94%，主要原因是：</w:t>
      </w:r>
      <w:r>
        <w:rPr>
          <w:rFonts w:hint="eastAsia" w:ascii="仿宋_GB2312" w:eastAsia="仿宋_GB2312"/>
          <w:b w:val="0"/>
          <w:sz w:val="32"/>
          <w:szCs w:val="32"/>
          <w:highlight w:val="none"/>
          <w:lang w:val="en-US" w:eastAsia="zh-CN"/>
        </w:rPr>
        <w:t>本年减少新疆科学仪器协作共用网项目、农产品质量安全项目</w:t>
      </w:r>
      <w:r>
        <w:rPr>
          <w:rFonts w:ascii="仿宋_GB2312" w:eastAsia="仿宋_GB2312"/>
          <w:b w:val="0"/>
          <w:sz w:val="32"/>
          <w:szCs w:val="32"/>
          <w:highlight w:val="none"/>
        </w:rPr>
        <w:t>。</w:t>
      </w:r>
    </w:p>
    <w:p w14:paraId="32C9C050">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二、收入决算情况说明</w:t>
      </w:r>
    </w:p>
    <w:p w14:paraId="17303A85">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本年收入4,835.81万元，其中：财政拨款收入915.69万元,占18.94%；上级补助收入0.00万元,占0.00%；事业收入3,551.82万元，占73.45%；经营收入0.00万元,占0.00%；附属单位上缴收入0.00万元，占0.00%；其他收入368.30万元，占7.62%。</w:t>
      </w:r>
    </w:p>
    <w:p w14:paraId="3EFF4FE5">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三、支出决算情况说明</w:t>
      </w:r>
    </w:p>
    <w:p w14:paraId="4D0B5017">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本年支出4,605.16万元，其中：基本支出862.03万元，占18.72%；项目支出3,743.13万元，占81.28%；上缴上级支出0.00万元，占0.00%；经营支出0.00万元，占0.00%；对附属单位补助支出0.00万元，占0.00%。</w:t>
      </w:r>
    </w:p>
    <w:p w14:paraId="4CF1982F">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四、财政拨款收入支出决算总体情况说明</w:t>
      </w:r>
    </w:p>
    <w:p w14:paraId="028A3CF2">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2025年度财政拨款收入总计915.69万元，其中：年初财政拨款结转和结余0.00万元，本年财政拨款收入915.69万元。财政拨款支出总计915.69万元，其中：年末财政拨款结转和结余0.00万元，本年财政拨款支出915.69万元。</w:t>
      </w:r>
    </w:p>
    <w:p w14:paraId="2D2E7B57">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财政拨款收入支出总体与上年相比，减少546.41万元，下降37.37%，主要原因是：</w:t>
      </w:r>
      <w:r>
        <w:rPr>
          <w:rFonts w:hint="eastAsia" w:ascii="仿宋_GB2312" w:eastAsia="仿宋_GB2312"/>
          <w:b w:val="0"/>
          <w:sz w:val="32"/>
          <w:szCs w:val="32"/>
          <w:highlight w:val="none"/>
          <w:lang w:val="en-US" w:eastAsia="zh-CN"/>
        </w:rPr>
        <w:t>本年减少新疆科学仪器协作共用网项目、农产品质量安全项目</w:t>
      </w:r>
      <w:r>
        <w:rPr>
          <w:rFonts w:ascii="仿宋_GB2312" w:eastAsia="仿宋_GB2312"/>
          <w:b w:val="0"/>
          <w:sz w:val="32"/>
          <w:szCs w:val="32"/>
          <w:highlight w:val="none"/>
        </w:rPr>
        <w:t>。与年初预算相比，年初预算数728.73万元，决算数915.69万元，预决算差异率25.66%，主要原因是：</w:t>
      </w:r>
      <w:r>
        <w:rPr>
          <w:rFonts w:hint="eastAsia" w:ascii="仿宋_GB2312" w:eastAsia="仿宋_GB2312"/>
          <w:b w:val="0"/>
          <w:sz w:val="32"/>
          <w:szCs w:val="32"/>
          <w:highlight w:val="none"/>
          <w:lang w:val="en-US" w:eastAsia="zh-CN"/>
        </w:rPr>
        <w:t>年中追加天山英才项目、工程中心项目以及结亲交通费，导致预决算存在差异</w:t>
      </w:r>
      <w:r>
        <w:rPr>
          <w:rFonts w:ascii="仿宋_GB2312" w:eastAsia="仿宋_GB2312"/>
          <w:b w:val="0"/>
          <w:sz w:val="32"/>
          <w:szCs w:val="32"/>
          <w:highlight w:val="none"/>
        </w:rPr>
        <w:t>。</w:t>
      </w:r>
    </w:p>
    <w:p w14:paraId="3B903C80">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五、一般公共预算财政拨款支出决算情况说明</w:t>
      </w:r>
    </w:p>
    <w:p w14:paraId="1CD97396">
      <w:pPr>
        <w:widowControl/>
        <w:spacing w:before="0" w:beforeLines="0" w:beforeAutospacing="0" w:after="0" w:afterLines="0" w:afterAutospacing="0" w:line="240" w:lineRule="auto"/>
        <w:ind w:firstLine="640" w:firstLineChars="200"/>
        <w:jc w:val="left"/>
        <w:rPr>
          <w:rFonts w:ascii="仿宋_GB2312" w:eastAsia="仿宋_GB2312"/>
          <w:sz w:val="32"/>
          <w:szCs w:val="32"/>
          <w:highlight w:val="none"/>
        </w:rPr>
      </w:pPr>
      <w:r>
        <w:rPr>
          <w:rFonts w:ascii="仿宋_GB2312" w:eastAsia="仿宋_GB2312"/>
          <w:b w:val="0"/>
          <w:sz w:val="32"/>
          <w:szCs w:val="32"/>
          <w:highlight w:val="none"/>
        </w:rPr>
        <w:t>按照党中央、国务院关于党政机关习惯过紧日子的有关要求，厉行节约办一切事业，严控一般性支出。同时坚持有保有压，优化支出结构，提高资金使用效率，合理保障</w:t>
      </w:r>
      <w:r>
        <w:rPr>
          <w:rFonts w:hint="eastAsia" w:ascii="仿宋_GB2312" w:eastAsia="仿宋_GB2312"/>
          <w:b w:val="0"/>
          <w:sz w:val="32"/>
          <w:szCs w:val="32"/>
          <w:highlight w:val="none"/>
          <w:lang w:val="en-US" w:eastAsia="zh-CN"/>
        </w:rPr>
        <w:t>机构运行、公共服务、事业发展</w:t>
      </w:r>
      <w:r>
        <w:rPr>
          <w:rFonts w:ascii="仿宋_GB2312" w:eastAsia="仿宋_GB2312"/>
          <w:b w:val="0"/>
          <w:sz w:val="32"/>
          <w:szCs w:val="32"/>
          <w:highlight w:val="none"/>
        </w:rPr>
        <w:t>等重点支出，体现在有关支出科目中。</w:t>
      </w:r>
    </w:p>
    <w:p w14:paraId="4BA747E5">
      <w:pPr>
        <w:widowControl/>
        <w:spacing w:before="0" w:beforeLines="0" w:beforeAutospacing="0" w:after="0" w:afterLines="0" w:afterAutospacing="0" w:line="240" w:lineRule="auto"/>
        <w:ind w:firstLine="640" w:firstLineChars="200"/>
        <w:jc w:val="left"/>
        <w:rPr>
          <w:rFonts w:hint="default" w:ascii="仿宋_GB2312" w:eastAsia="仿宋_GB2312"/>
          <w:sz w:val="32"/>
          <w:szCs w:val="32"/>
          <w:highlight w:val="none"/>
          <w:lang w:val="en-US" w:eastAsia="zh-CN"/>
        </w:rPr>
      </w:pPr>
      <w:r>
        <w:rPr>
          <w:rFonts w:ascii="仿宋_GB2312" w:eastAsia="仿宋_GB2312"/>
          <w:b w:val="0"/>
          <w:sz w:val="32"/>
          <w:szCs w:val="32"/>
          <w:highlight w:val="none"/>
        </w:rPr>
        <w:t>按照支出功能分类，科学技术支出（类）应用研究（款）机构运行（项）的支出占本年财政拨款支出总额的比重最高，2025年度决算数为775.69万元，占比84.71%，主要用于</w:t>
      </w:r>
      <w:r>
        <w:rPr>
          <w:rFonts w:hint="eastAsia" w:ascii="仿宋_GB2312" w:eastAsia="仿宋_GB2312"/>
          <w:b w:val="0"/>
          <w:sz w:val="32"/>
          <w:szCs w:val="32"/>
          <w:highlight w:val="none"/>
          <w:lang w:val="en-US" w:eastAsia="zh-CN"/>
        </w:rPr>
        <w:t>人员工资福利、日常公用经费等。</w:t>
      </w:r>
    </w:p>
    <w:p w14:paraId="47839E07">
      <w:pPr>
        <w:widowControl/>
        <w:spacing w:before="0" w:beforeLines="0" w:beforeAutospacing="0" w:after="0" w:afterLines="0" w:afterAutospacing="0" w:line="240" w:lineRule="auto"/>
        <w:ind w:firstLine="640" w:firstLineChars="200"/>
        <w:jc w:val="both"/>
        <w:outlineLvl w:val="2"/>
        <w:rPr>
          <w:rFonts w:ascii="黑体" w:eastAsia="黑体"/>
          <w:sz w:val="32"/>
          <w:szCs w:val="32"/>
          <w:highlight w:val="none"/>
        </w:rPr>
      </w:pPr>
      <w:r>
        <w:rPr>
          <w:rFonts w:ascii="黑体" w:eastAsia="黑体"/>
          <w:b w:val="0"/>
          <w:sz w:val="32"/>
          <w:szCs w:val="32"/>
          <w:highlight w:val="none"/>
        </w:rPr>
        <w:t>（一）一般公共预算财政拨款支出决算总体情况</w:t>
      </w:r>
    </w:p>
    <w:p w14:paraId="76F6AA43">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2025年度一般公共预算财政拨款支出915.69万元，占本年支出合计的19.88%。与上年相比，减少546.41万元，下降37.37%，主要原因是：</w:t>
      </w:r>
      <w:r>
        <w:rPr>
          <w:rFonts w:hint="eastAsia" w:ascii="仿宋_GB2312" w:eastAsia="仿宋_GB2312"/>
          <w:b w:val="0"/>
          <w:sz w:val="32"/>
          <w:szCs w:val="32"/>
          <w:highlight w:val="none"/>
          <w:lang w:val="en-US" w:eastAsia="zh-CN"/>
        </w:rPr>
        <w:t>本年减少新疆科学仪器协作共用网项目、农产品质量安全项目</w:t>
      </w:r>
      <w:r>
        <w:rPr>
          <w:rFonts w:ascii="仿宋_GB2312" w:eastAsia="仿宋_GB2312"/>
          <w:b w:val="0"/>
          <w:sz w:val="32"/>
          <w:szCs w:val="32"/>
          <w:highlight w:val="none"/>
        </w:rPr>
        <w:t>。与年初预算相比，年初预算数728.73万元，决算数915.69万元，预决算差异率25.66%，主要原因是：</w:t>
      </w:r>
      <w:r>
        <w:rPr>
          <w:rFonts w:hint="eastAsia" w:ascii="仿宋_GB2312" w:eastAsia="仿宋_GB2312"/>
          <w:b w:val="0"/>
          <w:sz w:val="32"/>
          <w:szCs w:val="32"/>
          <w:highlight w:val="none"/>
          <w:lang w:val="en-US" w:eastAsia="zh-CN"/>
        </w:rPr>
        <w:t>年中追加天山英才项目、工程中心项目以及结亲交通费，导致预决算存在差异</w:t>
      </w:r>
      <w:r>
        <w:rPr>
          <w:rFonts w:ascii="仿宋_GB2312" w:eastAsia="仿宋_GB2312"/>
          <w:b w:val="0"/>
          <w:sz w:val="32"/>
          <w:szCs w:val="32"/>
          <w:highlight w:val="none"/>
        </w:rPr>
        <w:t>。</w:t>
      </w:r>
    </w:p>
    <w:p w14:paraId="0115ACC7">
      <w:pPr>
        <w:widowControl/>
        <w:spacing w:before="0" w:beforeLines="0" w:beforeAutospacing="0" w:after="0" w:afterLines="0" w:afterAutospacing="0" w:line="240" w:lineRule="auto"/>
        <w:ind w:firstLine="640" w:firstLineChars="200"/>
        <w:jc w:val="left"/>
        <w:outlineLvl w:val="2"/>
        <w:rPr>
          <w:rFonts w:ascii="黑体" w:eastAsia="黑体"/>
          <w:sz w:val="32"/>
          <w:szCs w:val="32"/>
          <w:highlight w:val="none"/>
        </w:rPr>
      </w:pPr>
      <w:r>
        <w:rPr>
          <w:rFonts w:ascii="黑体" w:eastAsia="黑体"/>
          <w:b w:val="0"/>
          <w:sz w:val="32"/>
          <w:szCs w:val="32"/>
          <w:highlight w:val="none"/>
        </w:rPr>
        <w:t>（二）一般公共预算财政拨款支出决算结构情况</w:t>
      </w:r>
    </w:p>
    <w:p w14:paraId="74F23D4F">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1.科学技术支出（类）915.69万元，占100.00%。</w:t>
      </w:r>
    </w:p>
    <w:p w14:paraId="7C2313ED">
      <w:pPr>
        <w:widowControl/>
        <w:spacing w:before="0" w:beforeLines="0" w:beforeAutospacing="0" w:after="0" w:afterLines="0" w:afterAutospacing="0" w:line="240" w:lineRule="auto"/>
        <w:ind w:firstLine="640" w:firstLineChars="200"/>
        <w:jc w:val="left"/>
        <w:outlineLvl w:val="2"/>
        <w:rPr>
          <w:rFonts w:ascii="黑体" w:eastAsia="黑体"/>
          <w:sz w:val="32"/>
          <w:szCs w:val="32"/>
          <w:highlight w:val="none"/>
        </w:rPr>
      </w:pPr>
      <w:r>
        <w:rPr>
          <w:rFonts w:ascii="黑体" w:eastAsia="黑体"/>
          <w:b w:val="0"/>
          <w:sz w:val="32"/>
          <w:szCs w:val="32"/>
          <w:highlight w:val="none"/>
        </w:rPr>
        <w:t>（三）一般公共预算财政拨款支出决算具体情况</w:t>
      </w:r>
    </w:p>
    <w:p w14:paraId="646BC672">
      <w:pPr>
        <w:widowControl/>
        <w:spacing w:before="0" w:beforeLines="0" w:beforeAutospacing="0" w:after="0" w:afterLines="0" w:afterAutospacing="0" w:line="240" w:lineRule="auto"/>
        <w:ind w:firstLine="640" w:firstLineChars="200"/>
        <w:rPr>
          <w:rFonts w:hint="default" w:ascii="仿宋_GB2312" w:eastAsia="仿宋_GB2312"/>
          <w:sz w:val="32"/>
          <w:szCs w:val="32"/>
          <w:highlight w:val="none"/>
          <w:lang w:val="en-US" w:eastAsia="zh-CN"/>
        </w:rPr>
      </w:pPr>
      <w:r>
        <w:rPr>
          <w:rFonts w:ascii="仿宋_GB2312" w:eastAsia="仿宋_GB2312"/>
          <w:b w:val="0"/>
          <w:sz w:val="32"/>
          <w:szCs w:val="32"/>
          <w:highlight w:val="none"/>
        </w:rPr>
        <w:t>1.科学技术支出（类）基础研究（款）科技人才队伍建设（项）：支出决算数为140.00万元，比上年决算增加60.00万元，增长75.00%，主要原因是：</w:t>
      </w:r>
      <w:r>
        <w:rPr>
          <w:rFonts w:hint="eastAsia" w:ascii="仿宋_GB2312" w:eastAsia="仿宋_GB2312"/>
          <w:b w:val="0"/>
          <w:sz w:val="32"/>
          <w:szCs w:val="32"/>
          <w:highlight w:val="none"/>
          <w:lang w:val="en-US" w:eastAsia="zh-CN"/>
        </w:rPr>
        <w:t>2025年度新增特色植物资源绿色加工工程技术研究项目。</w:t>
      </w:r>
    </w:p>
    <w:p w14:paraId="60172250">
      <w:pPr>
        <w:widowControl/>
        <w:spacing w:before="0" w:beforeLines="0" w:beforeAutospacing="0" w:after="0" w:afterLines="0" w:afterAutospacing="0" w:line="240" w:lineRule="auto"/>
        <w:ind w:firstLine="640" w:firstLineChars="200"/>
        <w:rPr>
          <w:rFonts w:hint="default" w:ascii="仿宋_GB2312" w:eastAsia="仿宋_GB2312"/>
          <w:sz w:val="32"/>
          <w:szCs w:val="32"/>
          <w:highlight w:val="none"/>
          <w:lang w:val="en-US" w:eastAsia="zh-CN"/>
        </w:rPr>
      </w:pPr>
      <w:r>
        <w:rPr>
          <w:rFonts w:ascii="仿宋_GB2312" w:eastAsia="仿宋_GB2312"/>
          <w:b w:val="0"/>
          <w:sz w:val="32"/>
          <w:szCs w:val="32"/>
          <w:highlight w:val="none"/>
        </w:rPr>
        <w:t>2.科学技术支出（类）应用研究（款）机构运行（项）：支出决算数为775.69万元，比上年决算增加3.59万元，增长0.46%，主要原因是：</w:t>
      </w:r>
      <w:r>
        <w:rPr>
          <w:rFonts w:hint="eastAsia" w:ascii="仿宋_GB2312" w:eastAsia="仿宋_GB2312"/>
          <w:b w:val="0"/>
          <w:sz w:val="32"/>
          <w:szCs w:val="32"/>
          <w:highlight w:val="none"/>
          <w:lang w:val="en-US" w:eastAsia="zh-CN"/>
        </w:rPr>
        <w:t>本年在职人员工资调增，导致相关人员经费较上年有所增加。</w:t>
      </w:r>
    </w:p>
    <w:p w14:paraId="01077224">
      <w:pPr>
        <w:widowControl/>
        <w:spacing w:before="0" w:beforeLines="0" w:beforeAutospacing="0" w:after="0" w:afterLines="0" w:afterAutospacing="0" w:line="240" w:lineRule="auto"/>
        <w:ind w:firstLine="640" w:firstLineChars="200"/>
        <w:rPr>
          <w:rFonts w:hint="default" w:ascii="仿宋_GB2312" w:eastAsia="仿宋_GB2312"/>
          <w:sz w:val="32"/>
          <w:szCs w:val="32"/>
          <w:highlight w:val="none"/>
          <w:lang w:val="en-US" w:eastAsia="zh-CN"/>
        </w:rPr>
      </w:pPr>
      <w:r>
        <w:rPr>
          <w:rFonts w:ascii="仿宋_GB2312" w:eastAsia="仿宋_GB2312"/>
          <w:b w:val="0"/>
          <w:sz w:val="32"/>
          <w:szCs w:val="32"/>
          <w:highlight w:val="none"/>
        </w:rPr>
        <w:t>3.科学技术支出（类）应用研究（款）社会公益研究（项）：支出决算数为0.00万元，比上年决算减少100.00万元，下降100.00%，主要原因是：</w:t>
      </w:r>
      <w:r>
        <w:rPr>
          <w:rFonts w:hint="eastAsia" w:ascii="仿宋_GB2312" w:eastAsia="仿宋_GB2312"/>
          <w:b w:val="0"/>
          <w:sz w:val="32"/>
          <w:szCs w:val="32"/>
          <w:highlight w:val="none"/>
          <w:lang w:val="en-US" w:eastAsia="zh-CN"/>
        </w:rPr>
        <w:t>本年科学仪器协作共用网项目减少。</w:t>
      </w:r>
    </w:p>
    <w:p w14:paraId="55C854E6">
      <w:pPr>
        <w:widowControl/>
        <w:spacing w:before="0" w:beforeLines="0" w:beforeAutospacing="0" w:after="0" w:afterLines="0" w:afterAutospacing="0" w:line="240" w:lineRule="auto"/>
        <w:ind w:firstLine="640" w:firstLineChars="200"/>
        <w:rPr>
          <w:rFonts w:hint="default" w:ascii="仿宋_GB2312" w:eastAsia="仿宋_GB2312"/>
          <w:sz w:val="32"/>
          <w:szCs w:val="32"/>
          <w:highlight w:val="none"/>
          <w:lang w:val="en-US" w:eastAsia="zh-CN"/>
        </w:rPr>
      </w:pPr>
      <w:r>
        <w:rPr>
          <w:rFonts w:ascii="仿宋_GB2312" w:eastAsia="仿宋_GB2312"/>
          <w:b w:val="0"/>
          <w:sz w:val="32"/>
          <w:szCs w:val="32"/>
          <w:highlight w:val="none"/>
        </w:rPr>
        <w:t>4.社会保障和就业支出（类）人力资源和社会保障管理事务（款）其他人力资源和社会保障管理事务支出（项）：支出决算数为0.00万元，比上年决算减少10.00万元，下降100.00%，主要原因是：</w:t>
      </w:r>
      <w:r>
        <w:rPr>
          <w:rFonts w:hint="eastAsia" w:ascii="仿宋_GB2312" w:eastAsia="仿宋_GB2312"/>
          <w:b w:val="0"/>
          <w:sz w:val="32"/>
          <w:szCs w:val="32"/>
          <w:highlight w:val="none"/>
          <w:lang w:val="en-US" w:eastAsia="zh-CN"/>
        </w:rPr>
        <w:t>本年特色功能食品高质量发展研修班项目减少。</w:t>
      </w:r>
    </w:p>
    <w:p w14:paraId="4A090637">
      <w:pPr>
        <w:widowControl/>
        <w:spacing w:before="0" w:beforeLines="0" w:beforeAutospacing="0" w:after="0" w:afterLines="0" w:afterAutospacing="0" w:line="240" w:lineRule="auto"/>
        <w:ind w:firstLine="640" w:firstLineChars="200"/>
        <w:rPr>
          <w:rFonts w:hint="default" w:ascii="仿宋_GB2312" w:eastAsia="仿宋_GB2312"/>
          <w:sz w:val="32"/>
          <w:szCs w:val="32"/>
          <w:highlight w:val="none"/>
          <w:lang w:val="en-US" w:eastAsia="zh-CN"/>
        </w:rPr>
      </w:pPr>
      <w:r>
        <w:rPr>
          <w:rFonts w:ascii="仿宋_GB2312" w:eastAsia="仿宋_GB2312"/>
          <w:b w:val="0"/>
          <w:sz w:val="32"/>
          <w:szCs w:val="32"/>
          <w:highlight w:val="none"/>
        </w:rPr>
        <w:t>5.农林水支出（类）农业农村（款）科技转化与推广服务（项）：支出决算数为0.00万元，比上年决算减少40.00万元，下降100.00%，主要原因是：</w:t>
      </w:r>
      <w:r>
        <w:rPr>
          <w:rFonts w:hint="eastAsia" w:ascii="仿宋_GB2312" w:eastAsia="仿宋_GB2312"/>
          <w:b w:val="0"/>
          <w:sz w:val="32"/>
          <w:szCs w:val="32"/>
          <w:highlight w:val="none"/>
          <w:lang w:val="en-US" w:eastAsia="zh-CN"/>
        </w:rPr>
        <w:t>本年智力援疆创新扩展人才项目减少。</w:t>
      </w:r>
    </w:p>
    <w:p w14:paraId="4F32020A">
      <w:pPr>
        <w:widowControl/>
        <w:spacing w:before="0" w:beforeLines="0" w:beforeAutospacing="0" w:after="0" w:afterLines="0" w:afterAutospacing="0" w:line="240" w:lineRule="auto"/>
        <w:ind w:firstLine="640" w:firstLineChars="200"/>
        <w:rPr>
          <w:rFonts w:hint="default" w:ascii="仿宋_GB2312" w:eastAsia="仿宋_GB2312"/>
          <w:sz w:val="32"/>
          <w:szCs w:val="32"/>
          <w:highlight w:val="none"/>
          <w:lang w:val="en-US" w:eastAsia="zh-CN"/>
        </w:rPr>
      </w:pPr>
      <w:r>
        <w:rPr>
          <w:rFonts w:ascii="仿宋_GB2312" w:eastAsia="仿宋_GB2312"/>
          <w:b w:val="0"/>
          <w:sz w:val="32"/>
          <w:szCs w:val="32"/>
          <w:highlight w:val="none"/>
        </w:rPr>
        <w:t>6.农林水支出（类）农业农村（款）农产品质量安全（项）：支出决算数为0.00万元，比上年决算减少460.00万元，下降100.00%，主要原因是：</w:t>
      </w:r>
      <w:r>
        <w:rPr>
          <w:rFonts w:hint="eastAsia" w:ascii="仿宋_GB2312" w:eastAsia="仿宋_GB2312"/>
          <w:b w:val="0"/>
          <w:sz w:val="32"/>
          <w:szCs w:val="32"/>
          <w:highlight w:val="none"/>
          <w:lang w:val="en-US" w:eastAsia="zh-CN"/>
        </w:rPr>
        <w:t>本年农产品质量安全项目减少。</w:t>
      </w:r>
    </w:p>
    <w:p w14:paraId="72BFF547">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六、一般公共预算财政拨款基本支出决算情况说明</w:t>
      </w:r>
    </w:p>
    <w:p w14:paraId="5F26BF40">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2025年度一般公共预算财政拨款基本支出775.69万元，其中：人员经费709.47万元，包括：基本工资、津贴补贴、奖金、绩效工资、机关事业单位基本养老保险缴费、职业年金缴费、职工基本医疗保险缴费、公务员医疗补助缴费、其他社会保障缴费、住房公积金、退休费和其他对个人和家庭的补助。</w:t>
      </w:r>
    </w:p>
    <w:p w14:paraId="7F6A8168">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公用经费66.22万元，包括：办公费、水费、电费、邮电费、取暖费、物业管理费、差旅费、工会经费、福利费、公务用车运行维护费、其他交通费用和其他商品和服务支出。</w:t>
      </w:r>
    </w:p>
    <w:p w14:paraId="13DC1043">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七、政府性基金预算财政拨款收入支出决算情况说明</w:t>
      </w:r>
    </w:p>
    <w:p w14:paraId="23BAF747">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本单位本年度无政府性基金预算财政拨款收入、支出及结转和结余，政府性基金预算财政拨款收入支出决算表为空表。</w:t>
      </w:r>
    </w:p>
    <w:p w14:paraId="44339086">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八、国有资本经营预算财政拨款收入支出决算情况说明</w:t>
      </w:r>
    </w:p>
    <w:p w14:paraId="567BF773">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本单位本年度无国有资本经营预算财政拨款收入、支出及结转和结余，国有资本经营预算财政拨款收入支出决算表为空表。</w:t>
      </w:r>
    </w:p>
    <w:p w14:paraId="479741CE">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九、财政拨款“三公”经费支出决算情况说明</w:t>
      </w:r>
    </w:p>
    <w:p w14:paraId="0BC37F8A">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2025年度财政拨款“三公”经费支出0.94万元，与上年相比无变化，主要原因是：</w:t>
      </w:r>
      <w:r>
        <w:rPr>
          <w:rFonts w:hint="eastAsia" w:ascii="仿宋_GB2312" w:eastAsia="仿宋_GB2312"/>
          <w:b w:val="0"/>
          <w:sz w:val="32"/>
          <w:szCs w:val="32"/>
          <w:highlight w:val="none"/>
          <w:lang w:val="en-US" w:eastAsia="zh-CN"/>
        </w:rPr>
        <w:t>我单位“三公”经费与上年一致无变化</w:t>
      </w:r>
      <w:r>
        <w:rPr>
          <w:rFonts w:ascii="仿宋_GB2312" w:eastAsia="仿宋_GB2312"/>
          <w:b w:val="0"/>
          <w:sz w:val="32"/>
          <w:szCs w:val="32"/>
          <w:highlight w:val="none"/>
        </w:rPr>
        <w:t>。其中：因公出国（境）费用支出0.00万元,占0.00%，与上年相比无变化，主要原因是：</w:t>
      </w:r>
      <w:r>
        <w:rPr>
          <w:rFonts w:hint="eastAsia" w:ascii="仿宋_GB2312" w:eastAsia="仿宋_GB2312"/>
          <w:b w:val="0"/>
          <w:sz w:val="32"/>
          <w:szCs w:val="32"/>
          <w:highlight w:val="none"/>
          <w:lang w:val="en-US" w:eastAsia="zh-CN"/>
        </w:rPr>
        <w:t>2024年与2025年均无因公出国（境）费用支出</w:t>
      </w:r>
      <w:r>
        <w:rPr>
          <w:rFonts w:ascii="仿宋_GB2312" w:eastAsia="仿宋_GB2312"/>
          <w:b w:val="0"/>
          <w:sz w:val="32"/>
          <w:szCs w:val="32"/>
          <w:highlight w:val="none"/>
        </w:rPr>
        <w:t>；公务用车购置及运行维护费支出0.94万元，占100.00%，与上年相比无变化，主要原因是：</w:t>
      </w:r>
      <w:r>
        <w:rPr>
          <w:rFonts w:hint="eastAsia" w:ascii="仿宋_GB2312" w:eastAsia="仿宋_GB2312"/>
          <w:b w:val="0"/>
          <w:sz w:val="32"/>
          <w:szCs w:val="32"/>
          <w:highlight w:val="none"/>
          <w:lang w:val="en-US" w:eastAsia="zh-CN"/>
        </w:rPr>
        <w:t>我单位公务用车购置及运行维护费支出与上年一致无变化</w:t>
      </w:r>
      <w:r>
        <w:rPr>
          <w:rFonts w:ascii="仿宋_GB2312" w:eastAsia="仿宋_GB2312"/>
          <w:b w:val="0"/>
          <w:sz w:val="32"/>
          <w:szCs w:val="32"/>
          <w:highlight w:val="none"/>
        </w:rPr>
        <w:t>；公务接待费支出0.00万元，占0.00%，与上年相比无变化，主要原因是：</w:t>
      </w:r>
      <w:r>
        <w:rPr>
          <w:rFonts w:hint="eastAsia" w:ascii="仿宋_GB2312" w:eastAsia="仿宋_GB2312"/>
          <w:b w:val="0"/>
          <w:sz w:val="32"/>
          <w:szCs w:val="32"/>
          <w:highlight w:val="none"/>
          <w:lang w:val="en-US" w:eastAsia="zh-CN"/>
        </w:rPr>
        <w:t>2024年与2025年均无公务接待费支出</w:t>
      </w:r>
      <w:r>
        <w:rPr>
          <w:rFonts w:ascii="仿宋_GB2312" w:eastAsia="仿宋_GB2312"/>
          <w:b w:val="0"/>
          <w:sz w:val="32"/>
          <w:szCs w:val="32"/>
          <w:highlight w:val="none"/>
        </w:rPr>
        <w:t>。</w:t>
      </w:r>
    </w:p>
    <w:p w14:paraId="781AF8D6">
      <w:pPr>
        <w:widowControl/>
        <w:spacing w:before="0" w:beforeLines="0" w:beforeAutospacing="0" w:after="0" w:afterLines="0" w:afterAutospacing="0" w:line="240" w:lineRule="auto"/>
        <w:ind w:firstLine="640" w:firstLineChars="200"/>
        <w:jc w:val="left"/>
        <w:rPr>
          <w:rFonts w:ascii="仿宋_GB2312" w:eastAsia="仿宋_GB2312"/>
          <w:sz w:val="32"/>
          <w:szCs w:val="32"/>
          <w:highlight w:val="none"/>
        </w:rPr>
      </w:pPr>
      <w:r>
        <w:rPr>
          <w:rFonts w:ascii="仿宋_GB2312" w:eastAsia="仿宋_GB2312"/>
          <w:b w:val="0"/>
          <w:sz w:val="32"/>
          <w:szCs w:val="32"/>
          <w:highlight w:val="none"/>
        </w:rPr>
        <w:t>具体情况如下：</w:t>
      </w:r>
    </w:p>
    <w:p w14:paraId="548D1515">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因公出国（境）费用0.00万元，开支内容包括我单位无因公出国（境）费。单位全年安排的因公出国（境）团组0个，因公出国（境）0人次。</w:t>
      </w:r>
    </w:p>
    <w:p w14:paraId="4BEAAF67">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公务用车购置及运行维护费0.94万元，其中：公务用车购置费0.00万元，公务用车运行维护费0.94万元。公务用车运行维护费开支内容包括公务用车燃油费</w:t>
      </w:r>
      <w:r>
        <w:rPr>
          <w:rFonts w:hint="eastAsia" w:ascii="仿宋_GB2312" w:eastAsia="仿宋_GB2312"/>
          <w:b w:val="0"/>
          <w:sz w:val="32"/>
          <w:szCs w:val="32"/>
          <w:highlight w:val="none"/>
          <w:lang w:eastAsia="zh-CN"/>
        </w:rPr>
        <w:t>、</w:t>
      </w:r>
      <w:r>
        <w:rPr>
          <w:rFonts w:hint="eastAsia" w:ascii="仿宋_GB2312" w:eastAsia="仿宋_GB2312"/>
          <w:b w:val="0"/>
          <w:sz w:val="32"/>
          <w:szCs w:val="32"/>
          <w:highlight w:val="none"/>
          <w:lang w:val="en-US" w:eastAsia="zh-CN"/>
        </w:rPr>
        <w:t>车辆维修维护费、保险费等</w:t>
      </w:r>
      <w:r>
        <w:rPr>
          <w:rFonts w:ascii="仿宋_GB2312" w:eastAsia="仿宋_GB2312"/>
          <w:b w:val="0"/>
          <w:sz w:val="32"/>
          <w:szCs w:val="32"/>
          <w:highlight w:val="none"/>
        </w:rPr>
        <w:t>。公务用车购置数0辆，公务用车保有量3辆。国有资产占用情况中固定资产车辆3辆，与公务用车保有量差异原因是：</w:t>
      </w:r>
      <w:r>
        <w:rPr>
          <w:rFonts w:hint="eastAsia" w:ascii="仿宋_GB2312" w:eastAsia="仿宋_GB2312"/>
          <w:b w:val="0"/>
          <w:sz w:val="32"/>
          <w:szCs w:val="32"/>
          <w:highlight w:val="none"/>
          <w:lang w:val="en-US" w:eastAsia="zh-CN"/>
        </w:rPr>
        <w:t>本单位公务用车保有量与</w:t>
      </w:r>
      <w:r>
        <w:rPr>
          <w:rFonts w:ascii="仿宋_GB2312" w:eastAsia="仿宋_GB2312"/>
          <w:b w:val="0"/>
          <w:sz w:val="32"/>
          <w:szCs w:val="32"/>
          <w:highlight w:val="none"/>
        </w:rPr>
        <w:t>固定资产车辆</w:t>
      </w:r>
      <w:r>
        <w:rPr>
          <w:rFonts w:hint="eastAsia" w:ascii="仿宋_GB2312" w:eastAsia="仿宋_GB2312"/>
          <w:b w:val="0"/>
          <w:sz w:val="32"/>
          <w:szCs w:val="32"/>
          <w:highlight w:val="none"/>
          <w:lang w:val="en-US" w:eastAsia="zh-CN"/>
        </w:rPr>
        <w:t>一致无差异</w:t>
      </w:r>
      <w:r>
        <w:rPr>
          <w:rFonts w:ascii="仿宋_GB2312" w:eastAsia="仿宋_GB2312"/>
          <w:b w:val="0"/>
          <w:sz w:val="32"/>
          <w:szCs w:val="32"/>
          <w:highlight w:val="none"/>
        </w:rPr>
        <w:t>。</w:t>
      </w:r>
    </w:p>
    <w:p w14:paraId="0778BF03">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公务接待费0.00万元，开支内容包括我单位无公务接待费。单位全年安排的国内公务接待0批次，0人次。</w:t>
      </w:r>
    </w:p>
    <w:p w14:paraId="75A8E83E">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与全年预算相比，财政拨款“三公”经费支出全年预算数0.94万元，决算数0.94万元，预决算差异率0.00%，主要原因是：严格按照预算执行，预决算一致</w:t>
      </w:r>
      <w:r>
        <w:rPr>
          <w:rFonts w:hint="eastAsia" w:ascii="仿宋_GB2312" w:eastAsia="仿宋_GB2312"/>
          <w:b w:val="0"/>
          <w:sz w:val="32"/>
          <w:szCs w:val="32"/>
          <w:highlight w:val="none"/>
          <w:lang w:val="en-US" w:eastAsia="zh-CN"/>
        </w:rPr>
        <w:t>无差异</w:t>
      </w:r>
      <w:r>
        <w:rPr>
          <w:rFonts w:ascii="仿宋_GB2312" w:eastAsia="仿宋_GB2312"/>
          <w:b w:val="0"/>
          <w:sz w:val="32"/>
          <w:szCs w:val="32"/>
          <w:highlight w:val="none"/>
        </w:rPr>
        <w:t>。其中：因公出国（境）费用全年预算数0.00万元，决算数0.00万元，预决算差异率0.00%，主要原因是：</w:t>
      </w:r>
      <w:r>
        <w:rPr>
          <w:rFonts w:hint="eastAsia" w:ascii="仿宋_GB2312" w:eastAsia="仿宋_GB2312"/>
          <w:b w:val="0"/>
          <w:sz w:val="32"/>
          <w:szCs w:val="32"/>
          <w:highlight w:val="none"/>
          <w:lang w:val="en-US" w:eastAsia="zh-CN"/>
        </w:rPr>
        <w:t>本单位无因公出国（境）费</w:t>
      </w:r>
      <w:r>
        <w:rPr>
          <w:rFonts w:ascii="仿宋_GB2312" w:eastAsia="仿宋_GB2312"/>
          <w:b w:val="0"/>
          <w:sz w:val="32"/>
          <w:szCs w:val="32"/>
          <w:highlight w:val="none"/>
        </w:rPr>
        <w:t>；公务用车购置费全年预算数0.00万元，决算数0.00万元，预决算差异率0.00%，主要原因是：</w:t>
      </w:r>
      <w:r>
        <w:rPr>
          <w:rFonts w:hint="eastAsia" w:ascii="仿宋_GB2312" w:eastAsia="仿宋_GB2312"/>
          <w:b w:val="0"/>
          <w:sz w:val="32"/>
          <w:szCs w:val="32"/>
          <w:highlight w:val="none"/>
          <w:lang w:val="en-US" w:eastAsia="zh-CN"/>
        </w:rPr>
        <w:t>本单位无公务用车购置费</w:t>
      </w:r>
      <w:r>
        <w:rPr>
          <w:rFonts w:ascii="仿宋_GB2312" w:eastAsia="仿宋_GB2312"/>
          <w:b w:val="0"/>
          <w:sz w:val="32"/>
          <w:szCs w:val="32"/>
          <w:highlight w:val="none"/>
        </w:rPr>
        <w:t>；公务用车运行维护费全年预算数0.94万元，决算数0.94万元，预决算差异率0.00%，主要原因是：严格按照预算执行，预决算</w:t>
      </w:r>
      <w:r>
        <w:rPr>
          <w:rFonts w:hint="eastAsia" w:ascii="仿宋_GB2312" w:eastAsia="仿宋_GB2312"/>
          <w:b w:val="0"/>
          <w:sz w:val="32"/>
          <w:szCs w:val="32"/>
          <w:highlight w:val="none"/>
          <w:lang w:val="en-US" w:eastAsia="zh-CN"/>
        </w:rPr>
        <w:t>一致无差异</w:t>
      </w:r>
      <w:r>
        <w:rPr>
          <w:rFonts w:ascii="仿宋_GB2312" w:eastAsia="仿宋_GB2312"/>
          <w:b w:val="0"/>
          <w:sz w:val="32"/>
          <w:szCs w:val="32"/>
          <w:highlight w:val="none"/>
        </w:rPr>
        <w:t>；公务接待费全年预算数0.00万元，决算数0.00万元，预决算差异率0.00%，主要原因是：</w:t>
      </w:r>
      <w:r>
        <w:rPr>
          <w:rFonts w:hint="eastAsia" w:ascii="仿宋_GB2312" w:eastAsia="仿宋_GB2312"/>
          <w:b w:val="0"/>
          <w:sz w:val="32"/>
          <w:szCs w:val="32"/>
          <w:highlight w:val="none"/>
          <w:lang w:val="en-US" w:eastAsia="zh-CN"/>
        </w:rPr>
        <w:t>本单位无公务接待费</w:t>
      </w:r>
      <w:r>
        <w:rPr>
          <w:rFonts w:ascii="仿宋_GB2312" w:eastAsia="仿宋_GB2312"/>
          <w:b w:val="0"/>
          <w:sz w:val="32"/>
          <w:szCs w:val="32"/>
          <w:highlight w:val="none"/>
        </w:rPr>
        <w:t>。</w:t>
      </w:r>
      <w:bookmarkStart w:id="0" w:name="_GoBack"/>
      <w:bookmarkEnd w:id="0"/>
    </w:p>
    <w:p w14:paraId="16709BBB">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十、其他重要事项的情况说明</w:t>
      </w:r>
    </w:p>
    <w:p w14:paraId="5F7DB792">
      <w:pPr>
        <w:widowControl/>
        <w:spacing w:before="0" w:beforeLines="0" w:beforeAutospacing="0" w:after="0" w:afterLines="0" w:afterAutospacing="0" w:line="240" w:lineRule="auto"/>
        <w:ind w:firstLine="640" w:firstLineChars="200"/>
        <w:jc w:val="left"/>
        <w:outlineLvl w:val="2"/>
        <w:rPr>
          <w:rFonts w:ascii="黑体" w:eastAsia="黑体"/>
          <w:sz w:val="32"/>
          <w:szCs w:val="32"/>
          <w:highlight w:val="none"/>
        </w:rPr>
      </w:pPr>
      <w:r>
        <w:rPr>
          <w:rFonts w:ascii="黑体" w:eastAsia="黑体"/>
          <w:b w:val="0"/>
          <w:sz w:val="32"/>
          <w:szCs w:val="32"/>
          <w:highlight w:val="none"/>
        </w:rPr>
        <w:t>（一）机关运行经费及公用经费支出情况</w:t>
      </w:r>
    </w:p>
    <w:p w14:paraId="59CC1E76">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2025年度新疆维吾尔自治区科技资源共享服务中心（事业单位）公用经费支出66.22万元，比上年增加7.88万元，增长13.51%，主要原因是：</w:t>
      </w:r>
      <w:r>
        <w:rPr>
          <w:rFonts w:hint="eastAsia" w:ascii="仿宋_GB2312" w:eastAsia="仿宋_GB2312"/>
          <w:b w:val="0"/>
          <w:sz w:val="32"/>
          <w:szCs w:val="32"/>
          <w:highlight w:val="none"/>
          <w:lang w:val="en-US" w:eastAsia="zh-CN"/>
        </w:rPr>
        <w:t>本年取暖费增加，导致</w:t>
      </w:r>
      <w:r>
        <w:rPr>
          <w:rFonts w:ascii="仿宋_GB2312" w:eastAsia="仿宋_GB2312"/>
          <w:b w:val="0"/>
          <w:sz w:val="32"/>
          <w:szCs w:val="32"/>
          <w:highlight w:val="none"/>
        </w:rPr>
        <w:t>公用经费</w:t>
      </w:r>
      <w:r>
        <w:rPr>
          <w:rFonts w:hint="eastAsia" w:ascii="仿宋_GB2312" w:eastAsia="仿宋_GB2312"/>
          <w:b w:val="0"/>
          <w:sz w:val="32"/>
          <w:szCs w:val="32"/>
          <w:highlight w:val="none"/>
          <w:lang w:val="en-US" w:eastAsia="zh-CN"/>
        </w:rPr>
        <w:t>较上年</w:t>
      </w:r>
      <w:r>
        <w:rPr>
          <w:rFonts w:ascii="仿宋_GB2312" w:eastAsia="仿宋_GB2312"/>
          <w:b w:val="0"/>
          <w:sz w:val="32"/>
          <w:szCs w:val="32"/>
          <w:highlight w:val="none"/>
        </w:rPr>
        <w:t>增</w:t>
      </w:r>
      <w:r>
        <w:rPr>
          <w:rFonts w:hint="eastAsia" w:ascii="仿宋_GB2312" w:eastAsia="仿宋_GB2312"/>
          <w:b w:val="0"/>
          <w:sz w:val="32"/>
          <w:szCs w:val="32"/>
          <w:highlight w:val="none"/>
          <w:lang w:val="en-US" w:eastAsia="zh-CN"/>
        </w:rPr>
        <w:t>加</w:t>
      </w:r>
      <w:r>
        <w:rPr>
          <w:rFonts w:ascii="仿宋_GB2312" w:eastAsia="仿宋_GB2312"/>
          <w:b w:val="0"/>
          <w:sz w:val="32"/>
          <w:szCs w:val="32"/>
          <w:highlight w:val="none"/>
        </w:rPr>
        <w:t>。</w:t>
      </w:r>
    </w:p>
    <w:p w14:paraId="154B82C4">
      <w:pPr>
        <w:widowControl/>
        <w:spacing w:before="0" w:beforeLines="0" w:beforeAutospacing="0" w:after="0" w:afterLines="0" w:afterAutospacing="0" w:line="240" w:lineRule="auto"/>
        <w:ind w:firstLine="640" w:firstLineChars="200"/>
        <w:jc w:val="left"/>
        <w:outlineLvl w:val="2"/>
        <w:rPr>
          <w:rFonts w:ascii="黑体" w:eastAsia="黑体"/>
          <w:sz w:val="32"/>
          <w:szCs w:val="32"/>
          <w:highlight w:val="none"/>
        </w:rPr>
      </w:pPr>
      <w:r>
        <w:rPr>
          <w:rFonts w:ascii="黑体" w:eastAsia="黑体"/>
          <w:b w:val="0"/>
          <w:sz w:val="32"/>
          <w:szCs w:val="32"/>
          <w:highlight w:val="none"/>
        </w:rPr>
        <w:t>（二）政府采购情况</w:t>
      </w:r>
    </w:p>
    <w:p w14:paraId="175C4B5F">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2025年度政府采购支出总额1,008.77万元，其中：政府采购货物支出391.81万元、政府采购工程支出0.00万元、政府采购服务支出616.96万元。</w:t>
      </w:r>
    </w:p>
    <w:p w14:paraId="5A385390">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授予中小企业合同金额504.38万元，占政府采购支出总额的50.00%，其中：授予小微企业合同金额229.79万元，占政府采购支出总额的22.78%。</w:t>
      </w:r>
    </w:p>
    <w:p w14:paraId="7E9C3F2A">
      <w:pPr>
        <w:widowControl/>
        <w:spacing w:before="0" w:beforeLines="0" w:beforeAutospacing="0" w:after="0" w:afterLines="0" w:afterAutospacing="0" w:line="240" w:lineRule="auto"/>
        <w:ind w:firstLine="640" w:firstLineChars="200"/>
        <w:jc w:val="left"/>
        <w:outlineLvl w:val="2"/>
        <w:rPr>
          <w:rFonts w:ascii="黑体" w:eastAsia="黑体"/>
          <w:sz w:val="32"/>
          <w:szCs w:val="32"/>
          <w:highlight w:val="none"/>
        </w:rPr>
      </w:pPr>
      <w:r>
        <w:rPr>
          <w:rFonts w:ascii="黑体" w:eastAsia="黑体"/>
          <w:b w:val="0"/>
          <w:sz w:val="32"/>
          <w:szCs w:val="32"/>
          <w:highlight w:val="none"/>
        </w:rPr>
        <w:t>（三）国有资产占用情况说明</w:t>
      </w:r>
    </w:p>
    <w:p w14:paraId="584D3100">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截至2025年12月31日，房屋3,255.00平方米，价值258.79万元。车辆3辆，价值74.83万元，其中：副部（省）级及以上领导用车0辆、主要负责人用车0辆、机要通信用车0辆、应急保障用车0辆、执法执勤用车0辆、特种专业技术用车0辆、离退休干部服务用车0辆、其他用车3辆，其他用车主要是：我单位</w:t>
      </w:r>
      <w:r>
        <w:rPr>
          <w:rFonts w:hint="eastAsia" w:ascii="仿宋_GB2312" w:eastAsia="仿宋_GB2312"/>
          <w:b w:val="0"/>
          <w:sz w:val="32"/>
          <w:szCs w:val="32"/>
          <w:highlight w:val="none"/>
          <w:lang w:val="en-US" w:eastAsia="zh-CN"/>
        </w:rPr>
        <w:t>科研业务</w:t>
      </w:r>
      <w:r>
        <w:rPr>
          <w:rFonts w:ascii="仿宋_GB2312" w:eastAsia="仿宋_GB2312"/>
          <w:b w:val="0"/>
          <w:sz w:val="32"/>
          <w:szCs w:val="32"/>
          <w:highlight w:val="none"/>
        </w:rPr>
        <w:t>采样用车;单价100万元（含）以上设备（不含车辆）14台（套）。</w:t>
      </w:r>
    </w:p>
    <w:p w14:paraId="5C8A4460">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十一、预算绩效的情况说明</w:t>
      </w:r>
    </w:p>
    <w:p w14:paraId="29F53517">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根据预算绩效管理要求，本单位2025年度预算绩效评价项目</w:t>
      </w:r>
      <w:r>
        <w:rPr>
          <w:rFonts w:hint="eastAsia" w:ascii="仿宋_GB2312" w:eastAsia="仿宋_GB2312"/>
          <w:b w:val="0"/>
          <w:sz w:val="32"/>
          <w:szCs w:val="32"/>
          <w:highlight w:val="none"/>
          <w:lang w:val="en-US" w:eastAsia="zh-CN"/>
        </w:rPr>
        <w:t>1</w:t>
      </w:r>
      <w:r>
        <w:rPr>
          <w:rFonts w:ascii="仿宋_GB2312" w:eastAsia="仿宋_GB2312"/>
          <w:b w:val="0"/>
          <w:sz w:val="32"/>
          <w:szCs w:val="32"/>
          <w:highlight w:val="none"/>
        </w:rPr>
        <w:t>个，全年预算数</w:t>
      </w:r>
      <w:r>
        <w:rPr>
          <w:rFonts w:hint="eastAsia" w:ascii="仿宋_GB2312" w:eastAsia="仿宋_GB2312"/>
          <w:b w:val="0"/>
          <w:sz w:val="32"/>
          <w:szCs w:val="32"/>
          <w:highlight w:val="none"/>
          <w:lang w:val="en-US" w:eastAsia="zh-CN"/>
        </w:rPr>
        <w:t>3</w:t>
      </w:r>
      <w:r>
        <w:rPr>
          <w:rFonts w:ascii="仿宋_GB2312" w:eastAsia="仿宋_GB2312"/>
          <w:b w:val="0"/>
          <w:sz w:val="32"/>
          <w:szCs w:val="32"/>
          <w:highlight w:val="none"/>
        </w:rPr>
        <w:t>,</w:t>
      </w:r>
      <w:r>
        <w:rPr>
          <w:rFonts w:hint="eastAsia" w:ascii="仿宋_GB2312" w:eastAsia="仿宋_GB2312"/>
          <w:b w:val="0"/>
          <w:sz w:val="32"/>
          <w:szCs w:val="32"/>
          <w:highlight w:val="none"/>
          <w:lang w:val="en-US" w:eastAsia="zh-CN"/>
        </w:rPr>
        <w:t>000.00</w:t>
      </w:r>
      <w:r>
        <w:rPr>
          <w:rFonts w:ascii="仿宋_GB2312" w:eastAsia="仿宋_GB2312"/>
          <w:b w:val="0"/>
          <w:sz w:val="32"/>
          <w:szCs w:val="32"/>
          <w:highlight w:val="none"/>
        </w:rPr>
        <w:t>万元，全年执行数</w:t>
      </w:r>
      <w:r>
        <w:rPr>
          <w:rFonts w:hint="eastAsia" w:ascii="仿宋_GB2312" w:eastAsia="仿宋_GB2312"/>
          <w:b w:val="0"/>
          <w:sz w:val="32"/>
          <w:szCs w:val="32"/>
          <w:highlight w:val="none"/>
          <w:lang w:val="en-US" w:eastAsia="zh-CN"/>
        </w:rPr>
        <w:t>3</w:t>
      </w:r>
      <w:r>
        <w:rPr>
          <w:rFonts w:ascii="仿宋_GB2312" w:eastAsia="仿宋_GB2312"/>
          <w:b w:val="0"/>
          <w:sz w:val="32"/>
          <w:szCs w:val="32"/>
          <w:highlight w:val="none"/>
        </w:rPr>
        <w:t>,</w:t>
      </w:r>
      <w:r>
        <w:rPr>
          <w:rFonts w:hint="eastAsia" w:ascii="仿宋_GB2312" w:eastAsia="仿宋_GB2312"/>
          <w:b w:val="0"/>
          <w:sz w:val="32"/>
          <w:szCs w:val="32"/>
          <w:highlight w:val="none"/>
          <w:lang w:val="en-US" w:eastAsia="zh-CN"/>
        </w:rPr>
        <w:t>551.82</w:t>
      </w:r>
      <w:r>
        <w:rPr>
          <w:rFonts w:ascii="仿宋_GB2312" w:eastAsia="仿宋_GB2312"/>
          <w:b w:val="0"/>
          <w:sz w:val="32"/>
          <w:szCs w:val="32"/>
          <w:highlight w:val="none"/>
        </w:rPr>
        <w:t>万元。预算绩效管理取得的成效：</w:t>
      </w:r>
      <w:r>
        <w:rPr>
          <w:rFonts w:hint="eastAsia" w:ascii="仿宋_GB2312" w:eastAsia="仿宋_GB2312"/>
          <w:b w:val="0"/>
          <w:sz w:val="32"/>
          <w:szCs w:val="32"/>
          <w:highlight w:val="none"/>
          <w:lang w:val="en-US" w:eastAsia="zh-CN"/>
        </w:rPr>
        <w:t>一是</w:t>
      </w:r>
      <w:r>
        <w:rPr>
          <w:rFonts w:ascii="仿宋_GB2312" w:eastAsia="仿宋_GB2312"/>
          <w:b w:val="0"/>
          <w:sz w:val="32"/>
          <w:szCs w:val="32"/>
          <w:highlight w:val="none"/>
        </w:rPr>
        <w:t>弥补了单位科研业务费、日常运行经费的不足，紧紧围绕自治区政策，扎实做好食品、农产品、职业卫生等领域检测技术服务任务等工作;</w:t>
      </w:r>
      <w:r>
        <w:rPr>
          <w:rFonts w:hint="eastAsia" w:ascii="仿宋_GB2312" w:eastAsia="仿宋_GB2312"/>
          <w:b w:val="0"/>
          <w:sz w:val="32"/>
          <w:szCs w:val="32"/>
          <w:highlight w:val="none"/>
          <w:lang w:val="en-US" w:eastAsia="zh-CN"/>
        </w:rPr>
        <w:t>二是单位落实检测全流程，质量可控，有效保障了科研数据及报告的权威性，为区域科研创新、产业升级提供了可靠的科技支撑</w:t>
      </w:r>
      <w:r>
        <w:rPr>
          <w:rFonts w:ascii="仿宋_GB2312" w:eastAsia="仿宋_GB2312"/>
          <w:b w:val="0"/>
          <w:sz w:val="32"/>
          <w:szCs w:val="32"/>
          <w:highlight w:val="none"/>
        </w:rPr>
        <w:t>;</w:t>
      </w:r>
      <w:r>
        <w:rPr>
          <w:rFonts w:hint="eastAsia" w:ascii="仿宋_GB2312" w:eastAsia="仿宋_GB2312"/>
          <w:b w:val="0"/>
          <w:sz w:val="32"/>
          <w:szCs w:val="32"/>
          <w:highlight w:val="none"/>
          <w:lang w:val="en-US" w:eastAsia="zh-CN"/>
        </w:rPr>
        <w:t>三是预算绩效全流程闭环管理，核心指标全部纳入绩效管控，定期监控，预算绩效管理规范化、精细化水平持续提升</w:t>
      </w:r>
      <w:r>
        <w:rPr>
          <w:rFonts w:ascii="仿宋_GB2312" w:eastAsia="仿宋_GB2312"/>
          <w:b w:val="0"/>
          <w:sz w:val="32"/>
          <w:szCs w:val="32"/>
          <w:highlight w:val="none"/>
        </w:rPr>
        <w:t>。发现的问题及原因：</w:t>
      </w:r>
      <w:r>
        <w:rPr>
          <w:rFonts w:hint="eastAsia" w:ascii="仿宋_GB2312" w:eastAsia="仿宋_GB2312"/>
          <w:b w:val="0"/>
          <w:sz w:val="32"/>
          <w:szCs w:val="32"/>
          <w:highlight w:val="none"/>
          <w:lang w:val="en-US" w:eastAsia="zh-CN"/>
        </w:rPr>
        <w:t>一是现有绩效指标侧重业务数量等显性指标，针对新技术推广实效、科技资源共享深度等考核维度单一，难以全面反映资金长效效益</w:t>
      </w:r>
      <w:r>
        <w:rPr>
          <w:rFonts w:ascii="仿宋_GB2312" w:eastAsia="仿宋_GB2312"/>
          <w:b w:val="0"/>
          <w:sz w:val="32"/>
          <w:szCs w:val="32"/>
          <w:highlight w:val="none"/>
        </w:rPr>
        <w:t>;</w:t>
      </w:r>
      <w:r>
        <w:rPr>
          <w:rFonts w:hint="eastAsia" w:ascii="仿宋_GB2312" w:eastAsia="仿宋_GB2312"/>
          <w:b w:val="0"/>
          <w:sz w:val="32"/>
          <w:szCs w:val="32"/>
          <w:highlight w:val="none"/>
          <w:lang w:val="en-US" w:eastAsia="zh-CN"/>
        </w:rPr>
        <w:t>二是</w:t>
      </w:r>
      <w:r>
        <w:rPr>
          <w:rFonts w:ascii="仿宋_GB2312" w:eastAsia="仿宋_GB2312"/>
          <w:b w:val="0"/>
          <w:sz w:val="32"/>
          <w:szCs w:val="32"/>
          <w:highlight w:val="none"/>
        </w:rPr>
        <w:t>部分</w:t>
      </w:r>
      <w:r>
        <w:rPr>
          <w:rFonts w:hint="eastAsia" w:ascii="仿宋_GB2312" w:eastAsia="仿宋_GB2312"/>
          <w:b w:val="0"/>
          <w:sz w:val="32"/>
          <w:szCs w:val="32"/>
          <w:highlight w:val="none"/>
          <w:lang w:val="en-US" w:eastAsia="zh-CN"/>
        </w:rPr>
        <w:t>绩效评价内容</w:t>
      </w:r>
      <w:r>
        <w:rPr>
          <w:rFonts w:ascii="仿宋_GB2312" w:eastAsia="仿宋_GB2312"/>
          <w:b w:val="0"/>
          <w:sz w:val="32"/>
          <w:szCs w:val="32"/>
          <w:highlight w:val="none"/>
        </w:rPr>
        <w:t>不能</w:t>
      </w:r>
      <w:r>
        <w:rPr>
          <w:rFonts w:hint="eastAsia" w:ascii="仿宋_GB2312" w:eastAsia="仿宋_GB2312"/>
          <w:b w:val="0"/>
          <w:sz w:val="32"/>
          <w:szCs w:val="32"/>
          <w:highlight w:val="none"/>
          <w:lang w:val="en-US" w:eastAsia="zh-CN"/>
        </w:rPr>
        <w:t>匹配</w:t>
      </w:r>
      <w:r>
        <w:rPr>
          <w:rFonts w:ascii="仿宋_GB2312" w:eastAsia="仿宋_GB2312"/>
          <w:b w:val="0"/>
          <w:sz w:val="32"/>
          <w:szCs w:val="32"/>
          <w:highlight w:val="none"/>
        </w:rPr>
        <w:t>现在的工作，考核评价制度等还不够完善，计划逐步进行</w:t>
      </w:r>
      <w:r>
        <w:rPr>
          <w:rFonts w:hint="eastAsia" w:ascii="仿宋_GB2312" w:eastAsia="仿宋_GB2312"/>
          <w:b w:val="0"/>
          <w:sz w:val="32"/>
          <w:szCs w:val="32"/>
          <w:highlight w:val="none"/>
          <w:lang w:val="en-US" w:eastAsia="zh-CN"/>
        </w:rPr>
        <w:t>更新</w:t>
      </w:r>
      <w:r>
        <w:rPr>
          <w:rFonts w:ascii="仿宋_GB2312" w:eastAsia="仿宋_GB2312"/>
          <w:b w:val="0"/>
          <w:sz w:val="32"/>
          <w:szCs w:val="32"/>
          <w:highlight w:val="none"/>
        </w:rPr>
        <w:t>。下一步改进措施：</w:t>
      </w:r>
      <w:r>
        <w:rPr>
          <w:rFonts w:hint="eastAsia" w:ascii="仿宋_GB2312" w:eastAsia="仿宋_GB2312"/>
          <w:b w:val="0"/>
          <w:sz w:val="32"/>
          <w:szCs w:val="32"/>
          <w:highlight w:val="none"/>
          <w:lang w:val="en-US" w:eastAsia="zh-CN"/>
        </w:rPr>
        <w:t>一是结合单位核心职能与年度工作重点，优化绩效指标，构建多维立体的绩效评价体系</w:t>
      </w:r>
      <w:r>
        <w:rPr>
          <w:rFonts w:ascii="仿宋_GB2312" w:eastAsia="仿宋_GB2312"/>
          <w:b w:val="0"/>
          <w:sz w:val="32"/>
          <w:szCs w:val="32"/>
          <w:highlight w:val="none"/>
        </w:rPr>
        <w:t>;</w:t>
      </w:r>
      <w:r>
        <w:rPr>
          <w:rFonts w:hint="eastAsia" w:ascii="仿宋_GB2312" w:eastAsia="仿宋_GB2312"/>
          <w:b w:val="0"/>
          <w:sz w:val="32"/>
          <w:szCs w:val="32"/>
          <w:highlight w:val="none"/>
          <w:lang w:val="en-US" w:eastAsia="zh-CN"/>
        </w:rPr>
        <w:t>二是</w:t>
      </w:r>
      <w:r>
        <w:rPr>
          <w:rFonts w:ascii="仿宋_GB2312" w:eastAsia="仿宋_GB2312"/>
          <w:b w:val="0"/>
          <w:sz w:val="32"/>
          <w:szCs w:val="32"/>
          <w:highlight w:val="none"/>
        </w:rPr>
        <w:t>继续跟进各部门计划的修订工作</w:t>
      </w:r>
      <w:r>
        <w:rPr>
          <w:rFonts w:hint="eastAsia" w:ascii="仿宋_GB2312" w:eastAsia="仿宋_GB2312"/>
          <w:b w:val="0"/>
          <w:sz w:val="32"/>
          <w:szCs w:val="32"/>
          <w:highlight w:val="none"/>
          <w:lang w:eastAsia="zh-CN"/>
        </w:rPr>
        <w:t>，</w:t>
      </w:r>
      <w:r>
        <w:rPr>
          <w:rFonts w:ascii="仿宋_GB2312" w:eastAsia="仿宋_GB2312"/>
          <w:b w:val="0"/>
          <w:sz w:val="32"/>
          <w:szCs w:val="32"/>
          <w:highlight w:val="none"/>
        </w:rPr>
        <w:t>依据产业发展所处阶段及产业能力现状，通过</w:t>
      </w:r>
      <w:r>
        <w:rPr>
          <w:rFonts w:hint="eastAsia" w:ascii="仿宋_GB2312" w:eastAsia="仿宋_GB2312"/>
          <w:b w:val="0"/>
          <w:sz w:val="32"/>
          <w:szCs w:val="32"/>
          <w:highlight w:val="none"/>
          <w:lang w:val="en-US" w:eastAsia="zh-CN"/>
        </w:rPr>
        <w:t>评价体系的</w:t>
      </w:r>
      <w:r>
        <w:rPr>
          <w:rFonts w:ascii="仿宋_GB2312" w:eastAsia="仿宋_GB2312"/>
          <w:b w:val="0"/>
          <w:sz w:val="32"/>
          <w:szCs w:val="32"/>
          <w:highlight w:val="none"/>
        </w:rPr>
        <w:t>整合</w:t>
      </w:r>
      <w:r>
        <w:rPr>
          <w:rFonts w:hint="eastAsia" w:ascii="仿宋_GB2312" w:eastAsia="仿宋_GB2312"/>
          <w:b w:val="0"/>
          <w:sz w:val="32"/>
          <w:szCs w:val="32"/>
          <w:highlight w:val="none"/>
          <w:lang w:val="en-US" w:eastAsia="zh-CN"/>
        </w:rPr>
        <w:t>创新</w:t>
      </w:r>
      <w:r>
        <w:rPr>
          <w:rFonts w:ascii="仿宋_GB2312" w:eastAsia="仿宋_GB2312"/>
          <w:b w:val="0"/>
          <w:sz w:val="32"/>
          <w:szCs w:val="32"/>
          <w:highlight w:val="none"/>
        </w:rPr>
        <w:t>，从而提升行业发展后劲。具体附项目支出绩效自评表及项目支出绩效评价报告。</w:t>
      </w:r>
    </w:p>
    <w:p w14:paraId="1CD63683">
      <w:pPr>
        <w:widowControl/>
        <w:spacing w:before="0" w:beforeLines="0" w:beforeAutospacing="0" w:after="0" w:afterLines="0" w:afterAutospacing="0" w:line="240" w:lineRule="auto"/>
        <w:ind w:firstLine="640" w:firstLineChars="200"/>
        <w:jc w:val="left"/>
        <w:rPr>
          <w:rFonts w:ascii="黑体" w:eastAsia="黑体"/>
          <w:sz w:val="32"/>
          <w:szCs w:val="32"/>
          <w:highlight w:val="none"/>
        </w:rPr>
      </w:pPr>
      <w:r>
        <w:rPr>
          <w:rFonts w:ascii="黑体" w:eastAsia="黑体"/>
          <w:b w:val="0"/>
          <w:sz w:val="32"/>
          <w:szCs w:val="32"/>
          <w:highlight w:val="none"/>
        </w:rPr>
        <w:t>十二、其他需说明的事项</w:t>
      </w:r>
    </w:p>
    <w:p w14:paraId="196F01F5">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本单位无其他需说明的事项。</w:t>
      </w:r>
    </w:p>
    <w:p w14:paraId="326D0BD1">
      <w:pPr>
        <w:widowControl/>
        <w:spacing w:before="0" w:beforeLines="0" w:beforeAutospacing="0" w:after="0" w:afterLines="0" w:afterAutospacing="0" w:line="240" w:lineRule="auto"/>
        <w:ind w:firstLine="640" w:firstLineChars="200"/>
        <w:jc w:val="left"/>
        <w:rPr>
          <w:rFonts w:ascii="仿宋_GB2312" w:eastAsia="仿宋_GB2312"/>
          <w:sz w:val="32"/>
          <w:szCs w:val="32"/>
          <w:highlight w:val="none"/>
        </w:rPr>
      </w:pPr>
    </w:p>
    <w:p w14:paraId="17DA275E">
      <w:pPr>
        <w:widowControl/>
        <w:rPr>
          <w:highlight w:val="none"/>
        </w:rPr>
      </w:pPr>
      <w:r>
        <w:rPr>
          <w:b w:val="0"/>
          <w:sz w:val="0"/>
          <w:szCs w:val="0"/>
          <w:highlight w:val="none"/>
        </w:rPr>
        <w:br w:type="page"/>
      </w:r>
    </w:p>
    <w:p w14:paraId="48FE47B0">
      <w:pPr>
        <w:widowControl/>
        <w:spacing w:before="0" w:beforeLines="0" w:beforeAutospacing="0" w:after="0" w:afterLines="0" w:afterAutospacing="0" w:line="240" w:lineRule="auto"/>
        <w:jc w:val="center"/>
        <w:outlineLvl w:val="0"/>
        <w:rPr>
          <w:rFonts w:ascii="黑体" w:eastAsia="黑体"/>
          <w:sz w:val="32"/>
          <w:szCs w:val="32"/>
          <w:highlight w:val="none"/>
        </w:rPr>
      </w:pPr>
      <w:r>
        <w:rPr>
          <w:rFonts w:ascii="黑体" w:eastAsia="黑体"/>
          <w:b w:val="0"/>
          <w:sz w:val="32"/>
          <w:szCs w:val="32"/>
          <w:highlight w:val="none"/>
        </w:rPr>
        <w:t>第三部分 专业名词解释</w:t>
      </w:r>
    </w:p>
    <w:p w14:paraId="70EE4F7E">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一、财政拨款收入：</w:t>
      </w:r>
      <w:r>
        <w:rPr>
          <w:rFonts w:ascii="仿宋_GB2312" w:eastAsia="仿宋_GB2312"/>
          <w:b w:val="0"/>
          <w:sz w:val="32"/>
          <w:szCs w:val="32"/>
          <w:highlight w:val="none"/>
        </w:rPr>
        <w:t>指单位本年度从同级财政部门取得的财政拨款，包括一般公共预算财政拨款、政府性基金预算财政拨款和国有资本经营预算财政拨款。</w:t>
      </w:r>
    </w:p>
    <w:p w14:paraId="3F856614">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二、上级补助收入：</w:t>
      </w:r>
      <w:r>
        <w:rPr>
          <w:rFonts w:ascii="仿宋_GB2312" w:eastAsia="仿宋_GB2312"/>
          <w:b w:val="0"/>
          <w:sz w:val="32"/>
          <w:szCs w:val="32"/>
          <w:highlight w:val="none"/>
        </w:rPr>
        <w:t>指事业单位从主管部门和上级单位取得的非财政补助收入。</w:t>
      </w:r>
    </w:p>
    <w:p w14:paraId="3F2F6945">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三、事业收入：</w:t>
      </w:r>
      <w:r>
        <w:rPr>
          <w:rFonts w:ascii="仿宋_GB2312" w:eastAsia="仿宋_GB2312"/>
          <w:b w:val="0"/>
          <w:sz w:val="32"/>
          <w:szCs w:val="32"/>
          <w:highlight w:val="none"/>
        </w:rPr>
        <w:t>指事业单位开展专业业务活动及其辅助活动取得的收入。</w:t>
      </w:r>
    </w:p>
    <w:p w14:paraId="034B180A">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四、经营收入：</w:t>
      </w:r>
      <w:r>
        <w:rPr>
          <w:rFonts w:ascii="仿宋_GB2312" w:eastAsia="仿宋_GB2312"/>
          <w:b w:val="0"/>
          <w:sz w:val="32"/>
          <w:szCs w:val="32"/>
          <w:highlight w:val="none"/>
        </w:rPr>
        <w:t>指事业单位在专业业务活动及其辅助活动之外开展非独立核算经营活动取得的收入。</w:t>
      </w:r>
    </w:p>
    <w:p w14:paraId="5D2A8046">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五、附属单位上缴收入：</w:t>
      </w:r>
      <w:r>
        <w:rPr>
          <w:rFonts w:ascii="仿宋_GB2312" w:eastAsia="仿宋_GB2312"/>
          <w:b w:val="0"/>
          <w:sz w:val="32"/>
          <w:szCs w:val="32"/>
          <w:highlight w:val="none"/>
        </w:rPr>
        <w:t>指事业单位附属独立核算单位按照有关规定上缴的收入。</w:t>
      </w:r>
    </w:p>
    <w:p w14:paraId="6239D6FB">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六、其他收入：</w:t>
      </w:r>
      <w:r>
        <w:rPr>
          <w:rFonts w:ascii="仿宋_GB2312" w:eastAsia="仿宋_GB2312"/>
          <w:b w:val="0"/>
          <w:sz w:val="32"/>
          <w:szCs w:val="32"/>
          <w:highlight w:val="none"/>
        </w:rPr>
        <w:t>指单位取得的除上述“财政拨款收入”“上级补助收入”“事业收入”“经营收入”“附属单位上缴收入”以外的各项收入。</w:t>
      </w:r>
    </w:p>
    <w:p w14:paraId="0E2B4337">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七、年初结转和结余：</w:t>
      </w:r>
      <w:r>
        <w:rPr>
          <w:rFonts w:ascii="仿宋_GB2312" w:eastAsia="仿宋_GB2312"/>
          <w:b w:val="0"/>
          <w:sz w:val="32"/>
          <w:szCs w:val="32"/>
          <w:highlight w:val="none"/>
        </w:rPr>
        <w:t>指单位上年结转本年使用的基本支出结转、项目支出结转和结余、经营结余。</w:t>
      </w:r>
    </w:p>
    <w:p w14:paraId="1AC60311">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八、使用非财政拨款结余（含专用结余）：</w:t>
      </w:r>
      <w:r>
        <w:rPr>
          <w:rFonts w:ascii="仿宋_GB2312" w:eastAsia="仿宋_GB2312"/>
          <w:b w:val="0"/>
          <w:sz w:val="32"/>
          <w:szCs w:val="32"/>
          <w:highlight w:val="none"/>
        </w:rPr>
        <w:t>指单位按照预算管理要求使用非财政拨款结余弥补收支差额的金额，以及使用专用结余安排支出的金额。</w:t>
      </w:r>
    </w:p>
    <w:p w14:paraId="2DC2A7AA">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九、结余分配</w:t>
      </w:r>
      <w:r>
        <w:rPr>
          <w:rFonts w:ascii="仿宋_GB2312" w:eastAsia="仿宋_GB2312"/>
          <w:b w:val="0"/>
          <w:sz w:val="32"/>
          <w:szCs w:val="32"/>
          <w:highlight w:val="none"/>
        </w:rPr>
        <w:t>：指单位缴纳企业所得税以及从非财政拨款结余或经营结余中提取各类结余的情况。</w:t>
      </w:r>
    </w:p>
    <w:p w14:paraId="031C3205">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十、年末结转和结余</w:t>
      </w:r>
      <w:r>
        <w:rPr>
          <w:rFonts w:ascii="仿宋_GB2312" w:eastAsia="仿宋_GB2312"/>
          <w:b w:val="0"/>
          <w:sz w:val="32"/>
          <w:szCs w:val="32"/>
          <w:highlight w:val="none"/>
        </w:rPr>
        <w:t>：指单位结转下年的基本支出结转、项目支出结转和结余、经营结余。</w:t>
      </w:r>
    </w:p>
    <w:p w14:paraId="40DDF4EE">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十一、基本支出</w:t>
      </w:r>
      <w:r>
        <w:rPr>
          <w:rFonts w:ascii="仿宋_GB2312" w:eastAsia="仿宋_GB2312"/>
          <w:b w:val="0"/>
          <w:sz w:val="32"/>
          <w:szCs w:val="32"/>
          <w:highlight w:val="none"/>
        </w:rPr>
        <w:t>：指单位为保障机构正常运转、完成日常工作任务而发生的各项支出。</w:t>
      </w:r>
    </w:p>
    <w:p w14:paraId="5842FE65">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十二、项目支出：</w:t>
      </w:r>
      <w:r>
        <w:rPr>
          <w:rFonts w:ascii="仿宋_GB2312" w:eastAsia="仿宋_GB2312"/>
          <w:b w:val="0"/>
          <w:sz w:val="32"/>
          <w:szCs w:val="32"/>
          <w:highlight w:val="none"/>
        </w:rPr>
        <w:t>指单位为完成特定的行政工作任务或事业发展目标，在基本支出之外发生的各项支出。</w:t>
      </w:r>
    </w:p>
    <w:p w14:paraId="07F109EB">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十三、上缴上级支出：</w:t>
      </w:r>
      <w:r>
        <w:rPr>
          <w:rFonts w:ascii="仿宋_GB2312" w:eastAsia="仿宋_GB2312"/>
          <w:b w:val="0"/>
          <w:sz w:val="32"/>
          <w:szCs w:val="32"/>
          <w:highlight w:val="none"/>
        </w:rPr>
        <w:t>指事业单位按照财政部门和主管部门的规定上缴上级单位的支出。</w:t>
      </w:r>
    </w:p>
    <w:p w14:paraId="7681CAD6">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十四、经营支出：</w:t>
      </w:r>
      <w:r>
        <w:rPr>
          <w:rFonts w:ascii="仿宋_GB2312" w:eastAsia="仿宋_GB2312"/>
          <w:b w:val="0"/>
          <w:sz w:val="32"/>
          <w:szCs w:val="32"/>
          <w:highlight w:val="none"/>
        </w:rPr>
        <w:t>指事业单位在专业活动及辅助活动之外开展非独立核算经营活动发生的支出。</w:t>
      </w:r>
    </w:p>
    <w:p w14:paraId="04DFEA98">
      <w:pPr>
        <w:widowControl/>
        <w:spacing w:before="0" w:beforeLines="0" w:beforeAutospacing="0" w:after="0" w:afterLines="0" w:afterAutospacing="0" w:line="240" w:lineRule="auto"/>
        <w:ind w:firstLine="643" w:firstLineChars="200"/>
        <w:jc w:val="left"/>
        <w:rPr>
          <w:rFonts w:ascii="宋体" w:eastAsia="仿宋_GB2312"/>
          <w:sz w:val="32"/>
          <w:szCs w:val="32"/>
          <w:highlight w:val="none"/>
        </w:rPr>
      </w:pPr>
      <w:r>
        <w:rPr>
          <w:rFonts w:ascii="宋体" w:eastAsia="仿宋_GB2312"/>
          <w:b/>
          <w:sz w:val="32"/>
          <w:szCs w:val="32"/>
          <w:highlight w:val="none"/>
        </w:rPr>
        <w:t>十五、对附属单位补助支出：</w:t>
      </w:r>
      <w:r>
        <w:rPr>
          <w:rFonts w:ascii="宋体" w:eastAsia="仿宋_GB2312"/>
          <w:b w:val="0"/>
          <w:sz w:val="32"/>
          <w:szCs w:val="32"/>
          <w:highlight w:val="none"/>
        </w:rPr>
        <w:t>指事业单位用财政补助收入之外的收入对附属单位补助发生的支出。</w:t>
      </w:r>
    </w:p>
    <w:p w14:paraId="395A9EC1">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十六、“三公”经费：</w:t>
      </w:r>
      <w:r>
        <w:rPr>
          <w:rFonts w:ascii="仿宋_GB2312" w:eastAsia="仿宋_GB2312"/>
          <w:b w:val="0"/>
          <w:sz w:val="32"/>
          <w:szCs w:val="32"/>
          <w:highlight w:val="none"/>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2ABDC5CC">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十七、机关运行经费：</w:t>
      </w:r>
      <w:r>
        <w:rPr>
          <w:rFonts w:ascii="仿宋_GB2312" w:eastAsia="仿宋_GB2312"/>
          <w:b w:val="0"/>
          <w:sz w:val="32"/>
          <w:szCs w:val="32"/>
          <w:highlight w:val="none"/>
        </w:rPr>
        <w:t>指行政单位和参照公务员法管理的事业单位财政拨款基本支出中的公用经费支出。</w:t>
      </w:r>
    </w:p>
    <w:p w14:paraId="311FFBC2">
      <w:pPr>
        <w:widowControl/>
        <w:rPr>
          <w:highlight w:val="none"/>
        </w:rPr>
      </w:pPr>
      <w:r>
        <w:rPr>
          <w:b w:val="0"/>
          <w:sz w:val="0"/>
          <w:szCs w:val="0"/>
          <w:highlight w:val="none"/>
        </w:rPr>
        <w:br w:type="page"/>
      </w:r>
    </w:p>
    <w:p w14:paraId="763AE27E">
      <w:pPr>
        <w:widowControl/>
        <w:spacing w:before="0" w:beforeLines="0" w:beforeAutospacing="0" w:after="0" w:afterLines="0" w:afterAutospacing="0" w:line="240" w:lineRule="auto"/>
        <w:jc w:val="center"/>
        <w:outlineLvl w:val="0"/>
        <w:rPr>
          <w:rFonts w:ascii="黑体" w:eastAsia="黑体"/>
          <w:sz w:val="32"/>
          <w:szCs w:val="32"/>
          <w:highlight w:val="none"/>
        </w:rPr>
      </w:pPr>
      <w:r>
        <w:rPr>
          <w:rFonts w:ascii="黑体" w:eastAsia="黑体"/>
          <w:b w:val="0"/>
          <w:sz w:val="32"/>
          <w:szCs w:val="32"/>
          <w:highlight w:val="none"/>
        </w:rPr>
        <w:t>第四部分 部门决算报表（见附表）</w:t>
      </w:r>
    </w:p>
    <w:p w14:paraId="7B7EF75D">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highlight w:val="none"/>
        </w:rPr>
      </w:pPr>
      <w:r>
        <w:rPr>
          <w:rFonts w:ascii="仿宋_GB2312" w:eastAsia="仿宋_GB2312"/>
          <w:b w:val="0"/>
          <w:sz w:val="32"/>
          <w:szCs w:val="32"/>
          <w:highlight w:val="none"/>
        </w:rPr>
        <w:t>一、《收入支出决算总表》</w:t>
      </w:r>
    </w:p>
    <w:p w14:paraId="0F931808">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highlight w:val="none"/>
        </w:rPr>
      </w:pPr>
      <w:r>
        <w:rPr>
          <w:rFonts w:ascii="仿宋_GB2312" w:eastAsia="仿宋_GB2312"/>
          <w:b w:val="0"/>
          <w:sz w:val="32"/>
          <w:szCs w:val="32"/>
          <w:highlight w:val="none"/>
        </w:rPr>
        <w:t>二、《收入决算表》</w:t>
      </w:r>
    </w:p>
    <w:p w14:paraId="1316BB21">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highlight w:val="none"/>
        </w:rPr>
      </w:pPr>
      <w:r>
        <w:rPr>
          <w:rFonts w:ascii="仿宋_GB2312" w:eastAsia="仿宋_GB2312"/>
          <w:b w:val="0"/>
          <w:sz w:val="32"/>
          <w:szCs w:val="32"/>
          <w:highlight w:val="none"/>
        </w:rPr>
        <w:t>三、《支出决算表》</w:t>
      </w:r>
    </w:p>
    <w:p w14:paraId="15FFF437">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highlight w:val="none"/>
        </w:rPr>
      </w:pPr>
      <w:r>
        <w:rPr>
          <w:rFonts w:ascii="仿宋_GB2312" w:eastAsia="仿宋_GB2312"/>
          <w:b w:val="0"/>
          <w:sz w:val="32"/>
          <w:szCs w:val="32"/>
          <w:highlight w:val="none"/>
        </w:rPr>
        <w:t>四、《财政拨款收入支出决算总表》</w:t>
      </w:r>
    </w:p>
    <w:p w14:paraId="56861764">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highlight w:val="none"/>
        </w:rPr>
      </w:pPr>
      <w:r>
        <w:rPr>
          <w:rFonts w:ascii="仿宋_GB2312" w:eastAsia="仿宋_GB2312"/>
          <w:b w:val="0"/>
          <w:sz w:val="32"/>
          <w:szCs w:val="32"/>
          <w:highlight w:val="none"/>
        </w:rPr>
        <w:t>五、《一般公共预算财政拨款支出决算表》</w:t>
      </w:r>
    </w:p>
    <w:p w14:paraId="4CF95B6C">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highlight w:val="none"/>
        </w:rPr>
      </w:pPr>
      <w:r>
        <w:rPr>
          <w:rFonts w:ascii="仿宋_GB2312" w:eastAsia="仿宋_GB2312"/>
          <w:b w:val="0"/>
          <w:sz w:val="32"/>
          <w:szCs w:val="32"/>
          <w:highlight w:val="none"/>
        </w:rPr>
        <w:t>六、《一般公共预算财政拨款基本支出决算表》</w:t>
      </w:r>
    </w:p>
    <w:p w14:paraId="4F886751">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highlight w:val="none"/>
        </w:rPr>
      </w:pPr>
      <w:r>
        <w:rPr>
          <w:rFonts w:ascii="仿宋_GB2312" w:eastAsia="仿宋_GB2312"/>
          <w:b w:val="0"/>
          <w:sz w:val="32"/>
          <w:szCs w:val="32"/>
          <w:highlight w:val="none"/>
        </w:rPr>
        <w:t>七、《政府性基金预算财政拨款收入支出决算表》</w:t>
      </w:r>
    </w:p>
    <w:p w14:paraId="249A4C9C">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highlight w:val="none"/>
        </w:rPr>
      </w:pPr>
      <w:r>
        <w:rPr>
          <w:rFonts w:ascii="仿宋_GB2312" w:eastAsia="仿宋_GB2312"/>
          <w:b w:val="0"/>
          <w:sz w:val="32"/>
          <w:szCs w:val="32"/>
          <w:highlight w:val="none"/>
        </w:rPr>
        <w:t>八、《国有资本经营预算财政拨款收入支出决算表》</w:t>
      </w:r>
    </w:p>
    <w:p w14:paraId="46E45768">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highlight w:val="none"/>
        </w:rPr>
      </w:pPr>
      <w:r>
        <w:rPr>
          <w:rFonts w:ascii="仿宋_GB2312" w:eastAsia="仿宋_GB2312"/>
          <w:b w:val="0"/>
          <w:sz w:val="32"/>
          <w:szCs w:val="32"/>
          <w:highlight w:val="none"/>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isplayHorizontalDrawingGridEvery w:val="1"/>
  <w:displayVerticalDrawingGridEvery w:val="1"/>
  <w:noPunctuationKerning w:val="1"/>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2"/>
    <w:compatSetting w:name="overrideTableStyleFontSizeAndJustification" w:uri="http://schemas.microsoft.com/office/word" w:val="1"/>
  </w:compat>
  <w:docVars>
    <w:docVar w:name="commondata" w:val="eyJoZGlkIjoiODViY2JkMjU3NGYzZTEwMzZmMGFkZWViYmNkYWU3NDIifQ=="/>
  </w:docVars>
  <w:rsids>
    <w:rsidRoot w:val="00000000"/>
    <w:rsid w:val="00327CB1"/>
    <w:rsid w:val="0823286B"/>
    <w:rsid w:val="08C554D7"/>
    <w:rsid w:val="0F6A6B22"/>
    <w:rsid w:val="0FD867F5"/>
    <w:rsid w:val="16495662"/>
    <w:rsid w:val="1B5C34FB"/>
    <w:rsid w:val="1C9812AB"/>
    <w:rsid w:val="24B547C8"/>
    <w:rsid w:val="24F663A1"/>
    <w:rsid w:val="2740591A"/>
    <w:rsid w:val="2F1604FF"/>
    <w:rsid w:val="36E164A5"/>
    <w:rsid w:val="394957E8"/>
    <w:rsid w:val="3B8F4B5F"/>
    <w:rsid w:val="3DF51FA2"/>
    <w:rsid w:val="3E7352F0"/>
    <w:rsid w:val="41E040DE"/>
    <w:rsid w:val="42A50BE2"/>
    <w:rsid w:val="45C00D59"/>
    <w:rsid w:val="47246052"/>
    <w:rsid w:val="4BE71594"/>
    <w:rsid w:val="560F2982"/>
    <w:rsid w:val="5D586D36"/>
    <w:rsid w:val="61870B96"/>
    <w:rsid w:val="653C0A34"/>
    <w:rsid w:val="66AB6892"/>
    <w:rsid w:val="67240DCA"/>
    <w:rsid w:val="68D4681F"/>
    <w:rsid w:val="75AB4D6C"/>
    <w:rsid w:val="79775197"/>
    <w:rsid w:val="7E340329"/>
    <w:rsid w:val="7FE26EE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qFormat="1"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annotation text"/>
    <w:basedOn w:val="1"/>
    <w:semiHidden/>
    <w:unhideWhenUsed/>
    <w:qFormat/>
    <w:uiPriority w:val="99"/>
    <w:pPr>
      <w:jc w:val="left"/>
    </w:pPr>
  </w:style>
  <w:style w:type="paragraph" w:styleId="9">
    <w:name w:val="header"/>
    <w:basedOn w:val="1"/>
    <w:link w:val="17"/>
    <w:unhideWhenUsed/>
    <w:qFormat/>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1">
    <w:name w:val="Title"/>
    <w:basedOn w:val="1"/>
    <w:next w:val="1"/>
    <w:link w:val="23"/>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3">
    <w:name w:val="Table Grid"/>
    <w:basedOn w:val="12"/>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5">
    <w:name w:val="Emphasis"/>
    <w:basedOn w:val="14"/>
    <w:qFormat/>
    <w:uiPriority w:val="20"/>
    <w:rPr>
      <w:i/>
      <w:iCs/>
    </w:rPr>
  </w:style>
  <w:style w:type="character" w:styleId="16">
    <w:name w:val="Hyperlink"/>
    <w:basedOn w:val="14"/>
    <w:unhideWhenUsed/>
    <w:qFormat/>
    <w:uiPriority w:val="99"/>
    <w:rPr>
      <w:color w:val="0000FF" w:themeColor="hyperlink"/>
      <w:u w:val="single"/>
    </w:rPr>
  </w:style>
  <w:style w:type="character" w:customStyle="1" w:styleId="17">
    <w:name w:val="Header Char"/>
    <w:basedOn w:val="14"/>
    <w:link w:val="9"/>
    <w:qFormat/>
    <w:uiPriority w:val="99"/>
  </w:style>
  <w:style w:type="character" w:customStyle="1" w:styleId="18">
    <w:name w:val="Heading 1 Char"/>
    <w:basedOn w:val="14"/>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9">
    <w:name w:val="Heading 2 Char"/>
    <w:basedOn w:val="14"/>
    <w:link w:val="3"/>
    <w:qFormat/>
    <w:uiPriority w:val="9"/>
    <w:rPr>
      <w:rFonts w:asciiTheme="majorHAnsi" w:hAnsiTheme="majorHAnsi" w:eastAsiaTheme="majorEastAsia" w:cstheme="majorBidi"/>
      <w:b/>
      <w:bCs/>
      <w:color w:val="4F81BD" w:themeColor="accent1"/>
      <w:sz w:val="26"/>
      <w:szCs w:val="26"/>
    </w:rPr>
  </w:style>
  <w:style w:type="character" w:customStyle="1" w:styleId="20">
    <w:name w:val="Heading 3 Char"/>
    <w:basedOn w:val="14"/>
    <w:link w:val="4"/>
    <w:qFormat/>
    <w:uiPriority w:val="9"/>
    <w:rPr>
      <w:rFonts w:asciiTheme="majorHAnsi" w:hAnsiTheme="majorHAnsi" w:eastAsiaTheme="majorEastAsia" w:cstheme="majorBidi"/>
      <w:b/>
      <w:bCs/>
      <w:color w:val="4F81BD" w:themeColor="accent1"/>
    </w:rPr>
  </w:style>
  <w:style w:type="character" w:customStyle="1" w:styleId="21">
    <w:name w:val="Heading 4 Char"/>
    <w:basedOn w:val="14"/>
    <w:link w:val="5"/>
    <w:qFormat/>
    <w:uiPriority w:val="9"/>
    <w:rPr>
      <w:rFonts w:asciiTheme="majorHAnsi" w:hAnsiTheme="majorHAnsi" w:eastAsiaTheme="majorEastAsia" w:cstheme="majorBidi"/>
      <w:b/>
      <w:bCs/>
      <w:i/>
      <w:iCs/>
      <w:color w:val="4F81BD" w:themeColor="accent1"/>
    </w:rPr>
  </w:style>
  <w:style w:type="character" w:customStyle="1" w:styleId="22">
    <w:name w:val="Subtitle Char"/>
    <w:basedOn w:val="14"/>
    <w:link w:val="10"/>
    <w:qFormat/>
    <w:uiPriority w:val="11"/>
    <w:rPr>
      <w:rFonts w:asciiTheme="majorHAnsi" w:hAnsiTheme="majorHAnsi" w:eastAsiaTheme="majorEastAsia" w:cstheme="majorBidi"/>
      <w:i/>
      <w:iCs/>
      <w:color w:val="4F81BD" w:themeColor="accent1"/>
      <w:spacing w:val="15"/>
      <w:sz w:val="24"/>
      <w:szCs w:val="24"/>
    </w:rPr>
  </w:style>
  <w:style w:type="character" w:customStyle="1" w:styleId="23">
    <w:name w:val="Title Char"/>
    <w:basedOn w:val="14"/>
    <w:link w:val="11"/>
    <w:qFormat/>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13</Pages>
  <Words>5365</Words>
  <Characters>5973</Characters>
  <TotalTime>17</TotalTime>
  <ScaleCrop>false</ScaleCrop>
  <LinksUpToDate>false</LinksUpToDate>
  <CharactersWithSpaces>5980</CharactersWithSpaces>
  <Application>WPS Office_12.1.0.18608_F1E327BC-269C-435d-A152-05C5408002CA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2026-08-19T02:05:00Z</dcterms:created>
  <dc:creator>king</dc:creator>
  <cp:lastModifiedBy>雨。</cp:lastModifiedBy>
  <dcterms:modified xsi:type="dcterms:W3CDTF">2026-08-29T12:27:20Z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eyJoZGlkIjoiYTZjZThjMDFjYjU0NDRjYWE1YjFlZmFjNmU0NDBiYTgiLCJ1c2VySWQiOiI0NjExNzA3OTgifQ==</vt:lpwstr>
  </property>
  <property fmtid="{D5CDD505-2E9C-101B-9397-08002B2CF9AE}" pid="3" name="KSOProductBuildVer">
    <vt:lpwstr>2052-12.1.0.18608</vt:lpwstr>
  </property>
  <property fmtid="{D5CDD505-2E9C-101B-9397-08002B2CF9AE}" pid="4" name="ICV">
    <vt:lpwstr>A12AB38A27984AB8B5E49EEA55FC1D15_12</vt:lpwstr>
  </property>
</Properties>
</file>