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D66EC9">
      <w:pPr>
        <w:keepNext w:val="0"/>
        <w:keepLines w:val="0"/>
        <w:pageBreakBefore w:val="0"/>
        <w:widowControl w:val="0"/>
        <w:kinsoku/>
        <w:wordWrap/>
        <w:overflowPunct/>
        <w:topLinePunct w:val="0"/>
        <w:bidi w:val="0"/>
        <w:adjustRightInd/>
        <w:snapToGrid/>
        <w:spacing w:after="0" w:line="240" w:lineRule="auto"/>
        <w:jc w:val="center"/>
        <w:textAlignment w:val="auto"/>
        <w:rPr>
          <w:rFonts w:hint="eastAsia" w:ascii="方正小标宋_GBK" w:hAnsi="宋体" w:eastAsia="方正小标宋_GBK" w:cs="Times New Roman"/>
          <w:kern w:val="2"/>
          <w:sz w:val="44"/>
          <w:szCs w:val="44"/>
          <w:highlight w:val="none"/>
          <w:lang w:eastAsia="zh-CN"/>
        </w:rPr>
      </w:pPr>
    </w:p>
    <w:p w14:paraId="7C765E36">
      <w:pPr>
        <w:keepNext w:val="0"/>
        <w:keepLines w:val="0"/>
        <w:pageBreakBefore w:val="0"/>
        <w:widowControl w:val="0"/>
        <w:kinsoku/>
        <w:wordWrap/>
        <w:overflowPunct/>
        <w:topLinePunct w:val="0"/>
        <w:bidi w:val="0"/>
        <w:adjustRightInd/>
        <w:snapToGrid/>
        <w:spacing w:after="0" w:line="240" w:lineRule="auto"/>
        <w:jc w:val="center"/>
        <w:textAlignment w:val="auto"/>
        <w:rPr>
          <w:rFonts w:hint="eastAsia" w:ascii="方正小标宋_GBK" w:hAnsi="宋体" w:eastAsia="方正小标宋_GBK" w:cs="Times New Roman"/>
          <w:kern w:val="2"/>
          <w:sz w:val="44"/>
          <w:szCs w:val="44"/>
          <w:highlight w:val="none"/>
          <w:lang w:eastAsia="zh-CN"/>
        </w:rPr>
      </w:pPr>
    </w:p>
    <w:p w14:paraId="655FECCD">
      <w:pPr>
        <w:keepNext w:val="0"/>
        <w:keepLines w:val="0"/>
        <w:pageBreakBefore w:val="0"/>
        <w:widowControl w:val="0"/>
        <w:kinsoku/>
        <w:wordWrap/>
        <w:overflowPunct/>
        <w:topLinePunct w:val="0"/>
        <w:bidi w:val="0"/>
        <w:adjustRightInd/>
        <w:snapToGrid/>
        <w:spacing w:after="0" w:line="240" w:lineRule="auto"/>
        <w:jc w:val="center"/>
        <w:textAlignment w:val="auto"/>
        <w:rPr>
          <w:rFonts w:hint="eastAsia" w:ascii="方正小标宋_GBK" w:hAnsi="宋体" w:eastAsia="方正小标宋_GBK" w:cs="Times New Roman"/>
          <w:kern w:val="2"/>
          <w:sz w:val="44"/>
          <w:szCs w:val="44"/>
          <w:highlight w:val="none"/>
          <w:lang w:eastAsia="zh-CN"/>
        </w:rPr>
      </w:pPr>
    </w:p>
    <w:p w14:paraId="7F44B035">
      <w:pPr>
        <w:keepNext w:val="0"/>
        <w:keepLines w:val="0"/>
        <w:pageBreakBefore w:val="0"/>
        <w:widowControl w:val="0"/>
        <w:kinsoku/>
        <w:wordWrap/>
        <w:overflowPunct/>
        <w:topLinePunct w:val="0"/>
        <w:bidi w:val="0"/>
        <w:adjustRightInd/>
        <w:snapToGrid/>
        <w:spacing w:after="0" w:line="240" w:lineRule="auto"/>
        <w:jc w:val="center"/>
        <w:textAlignment w:val="auto"/>
        <w:rPr>
          <w:rFonts w:hint="eastAsia" w:ascii="方正小标宋_GBK" w:hAnsi="宋体" w:eastAsia="方正小标宋_GBK" w:cs="Times New Roman"/>
          <w:kern w:val="2"/>
          <w:sz w:val="44"/>
          <w:szCs w:val="44"/>
          <w:highlight w:val="none"/>
          <w:lang w:eastAsia="zh-CN"/>
        </w:rPr>
      </w:pPr>
    </w:p>
    <w:p w14:paraId="4E7C33FF">
      <w:pPr>
        <w:keepNext w:val="0"/>
        <w:keepLines w:val="0"/>
        <w:pageBreakBefore w:val="0"/>
        <w:widowControl w:val="0"/>
        <w:kinsoku/>
        <w:wordWrap/>
        <w:overflowPunct/>
        <w:topLinePunct w:val="0"/>
        <w:bidi w:val="0"/>
        <w:adjustRightInd/>
        <w:snapToGrid/>
        <w:spacing w:after="0" w:line="240" w:lineRule="auto"/>
        <w:jc w:val="center"/>
        <w:textAlignment w:val="auto"/>
        <w:rPr>
          <w:rFonts w:hint="eastAsia" w:ascii="方正小标宋_GBK" w:hAnsi="宋体" w:eastAsia="方正小标宋_GBK" w:cs="Times New Roman"/>
          <w:kern w:val="2"/>
          <w:sz w:val="44"/>
          <w:szCs w:val="44"/>
          <w:highlight w:val="none"/>
          <w:lang w:eastAsia="zh-CN"/>
        </w:rPr>
      </w:pPr>
      <w:r>
        <w:rPr>
          <w:rFonts w:hint="eastAsia" w:ascii="方正小标宋_GBK" w:hAnsi="宋体" w:eastAsia="方正小标宋_GBK" w:cs="Times New Roman"/>
          <w:kern w:val="2"/>
          <w:sz w:val="44"/>
          <w:szCs w:val="44"/>
          <w:highlight w:val="none"/>
          <w:lang w:eastAsia="zh-CN"/>
        </w:rPr>
        <w:t>新疆维吾尔自治区环境保护科学研究院</w:t>
      </w:r>
    </w:p>
    <w:p w14:paraId="04BF79E0">
      <w:pPr>
        <w:keepNext w:val="0"/>
        <w:keepLines w:val="0"/>
        <w:pageBreakBefore w:val="0"/>
        <w:widowControl w:val="0"/>
        <w:kinsoku/>
        <w:wordWrap/>
        <w:overflowPunct/>
        <w:topLinePunct w:val="0"/>
        <w:bidi w:val="0"/>
        <w:adjustRightInd/>
        <w:snapToGrid/>
        <w:spacing w:after="0" w:line="240" w:lineRule="auto"/>
        <w:jc w:val="center"/>
        <w:textAlignment w:val="auto"/>
        <w:rPr>
          <w:rFonts w:hint="eastAsia" w:ascii="方正小标宋_GBK" w:hAnsi="宋体" w:eastAsia="方正小标宋_GBK" w:cs="Times New Roman"/>
          <w:kern w:val="2"/>
          <w:sz w:val="44"/>
          <w:szCs w:val="44"/>
          <w:highlight w:val="none"/>
          <w:lang w:eastAsia="zh-CN"/>
        </w:rPr>
      </w:pPr>
      <w:r>
        <w:rPr>
          <w:rFonts w:hint="eastAsia" w:ascii="方正小标宋_GBK" w:hAnsi="宋体" w:eastAsia="方正小标宋_GBK" w:cs="Times New Roman"/>
          <w:kern w:val="2"/>
          <w:sz w:val="44"/>
          <w:szCs w:val="44"/>
          <w:highlight w:val="none"/>
          <w:lang w:eastAsia="zh-CN"/>
        </w:rPr>
        <w:t>2025年度部门决算公开说明</w:t>
      </w:r>
    </w:p>
    <w:p w14:paraId="36CE58B7">
      <w:pPr>
        <w:widowControl/>
      </w:pPr>
      <w:r>
        <w:rPr>
          <w:b w:val="0"/>
          <w:sz w:val="0"/>
          <w:szCs w:val="0"/>
        </w:rPr>
        <w:br w:type="page"/>
      </w:r>
    </w:p>
    <w:p w14:paraId="260DA95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center"/>
        <w:textAlignment w:val="auto"/>
        <w:rPr>
          <w:rFonts w:hint="eastAsia" w:ascii="仿宋_GB2312" w:hAnsi="仿宋_GB2312" w:eastAsia="仿宋_GB2312" w:cs="仿宋_GB2312"/>
          <w:b/>
          <w:bCs/>
          <w:kern w:val="2"/>
          <w:sz w:val="36"/>
          <w:szCs w:val="36"/>
          <w:highlight w:val="none"/>
          <w:lang w:val="en-US" w:eastAsia="zh-CN" w:bidi="ar-SA"/>
        </w:rPr>
      </w:pPr>
      <w:r>
        <w:rPr>
          <w:rFonts w:hint="eastAsia" w:ascii="仿宋_GB2312" w:hAnsi="仿宋_GB2312" w:eastAsia="仿宋_GB2312" w:cs="仿宋_GB2312"/>
          <w:b/>
          <w:bCs/>
          <w:kern w:val="2"/>
          <w:sz w:val="36"/>
          <w:szCs w:val="36"/>
          <w:highlight w:val="none"/>
          <w:lang w:val="en-US" w:eastAsia="zh-CN" w:bidi="ar-SA"/>
        </w:rPr>
        <w:t>目  录</w:t>
      </w:r>
    </w:p>
    <w:p w14:paraId="353C444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hint="eastAsia" w:ascii="仿宋_GB2312" w:hAnsi="仿宋_GB2312" w:eastAsia="仿宋_GB2312" w:cs="仿宋_GB2312"/>
          <w:b/>
          <w:bCs/>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第一部 分单位概况</w:t>
      </w:r>
    </w:p>
    <w:p w14:paraId="1642F82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一、主要职能</w:t>
      </w:r>
    </w:p>
    <w:p w14:paraId="5692A91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二、机构设置</w:t>
      </w:r>
    </w:p>
    <w:p w14:paraId="685D40B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hint="eastAsia" w:ascii="仿宋_GB2312" w:hAnsi="仿宋_GB2312" w:eastAsia="仿宋_GB2312" w:cs="仿宋_GB2312"/>
          <w:b/>
          <w:bCs/>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第二部分 部门决算情况说明</w:t>
      </w:r>
    </w:p>
    <w:p w14:paraId="71EAE6B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14:paraId="1441557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14:paraId="0985CF3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14:paraId="31B23D8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14:paraId="4C80734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14:paraId="2C4523C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14:paraId="7C321AA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14:paraId="324DDF9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14:paraId="53E2094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14:paraId="31A378E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14:paraId="61B6094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4F17E5C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14:paraId="2FCB4D7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14:paraId="0354ADC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14:paraId="4486C0E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（二）政府采购情况</w:t>
      </w:r>
    </w:p>
    <w:p w14:paraId="6C2CD2A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14:paraId="197736B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14:paraId="63738C0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14:paraId="699D7F2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hint="eastAsia" w:ascii="仿宋_GB2312" w:hAnsi="仿宋_GB2312" w:eastAsia="仿宋_GB2312" w:cs="仿宋_GB2312"/>
          <w:b/>
          <w:bCs/>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第三部分 专业名词解释</w:t>
      </w:r>
    </w:p>
    <w:p w14:paraId="1B59123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hint="eastAsia" w:ascii="仿宋_GB2312" w:hAnsi="仿宋_GB2312" w:eastAsia="仿宋_GB2312" w:cs="仿宋_GB2312"/>
          <w:b/>
          <w:bCs/>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第四部分 部门决算报表（见附表）</w:t>
      </w:r>
    </w:p>
    <w:p w14:paraId="45F0A6A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14:paraId="0B07906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二、《收入决算表》</w:t>
      </w:r>
    </w:p>
    <w:p w14:paraId="634E232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三、《支出决算表》</w:t>
      </w:r>
    </w:p>
    <w:p w14:paraId="2513772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14:paraId="304333A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14:paraId="57EFB02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14:paraId="44FCFAD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14:paraId="64DD93F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14:paraId="5413D6E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14:paraId="35D8CA2E">
      <w:pPr>
        <w:keepNext w:val="0"/>
        <w:keepLines w:val="0"/>
        <w:pageBreakBefore w:val="0"/>
        <w:widowControl/>
        <w:kinsoku/>
        <w:wordWrap/>
        <w:overflowPunct/>
        <w:topLinePunct w:val="0"/>
        <w:autoSpaceDE/>
        <w:autoSpaceDN/>
        <w:bidi w:val="0"/>
        <w:adjustRightInd/>
        <w:snapToGrid/>
        <w:spacing w:line="600" w:lineRule="exact"/>
        <w:textAlignment w:val="auto"/>
      </w:pPr>
      <w:r>
        <w:rPr>
          <w:b w:val="0"/>
          <w:sz w:val="0"/>
          <w:szCs w:val="0"/>
        </w:rPr>
        <w:br w:type="page"/>
      </w:r>
    </w:p>
    <w:p w14:paraId="360392D5">
      <w:pPr>
        <w:keepNext w:val="0"/>
        <w:keepLines w:val="0"/>
        <w:pageBreakBefore w:val="0"/>
        <w:widowControl w:val="0"/>
        <w:kinsoku/>
        <w:wordWrap/>
        <w:overflowPunct/>
        <w:topLinePunct w:val="0"/>
        <w:autoSpaceDE/>
        <w:autoSpaceDN/>
        <w:bidi w:val="0"/>
        <w:adjustRightInd/>
        <w:snapToGrid/>
        <w:spacing w:after="0" w:line="600" w:lineRule="exact"/>
        <w:ind w:firstLine="0" w:firstLineChars="0"/>
        <w:jc w:val="center"/>
        <w:textAlignment w:val="auto"/>
        <w:outlineLvl w:val="0"/>
        <w:rPr>
          <w:rFonts w:hint="eastAsia" w:ascii="黑体" w:hAnsi="黑体" w:eastAsia="黑体" w:cs="宋体"/>
          <w:bCs/>
          <w:kern w:val="0"/>
          <w:sz w:val="32"/>
          <w:szCs w:val="32"/>
          <w:highlight w:val="none"/>
          <w:lang w:val="en-US" w:eastAsia="zh-CN"/>
        </w:rPr>
      </w:pPr>
      <w:r>
        <w:rPr>
          <w:rFonts w:hint="eastAsia" w:ascii="黑体" w:hAnsi="黑体" w:eastAsia="黑体" w:cs="宋体"/>
          <w:bCs/>
          <w:kern w:val="0"/>
          <w:sz w:val="32"/>
          <w:szCs w:val="32"/>
          <w:highlight w:val="none"/>
          <w:lang w:val="en-US" w:eastAsia="zh-CN"/>
        </w:rPr>
        <w:t>第一部分 单位概况</w:t>
      </w:r>
    </w:p>
    <w:p w14:paraId="1274DB2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14:paraId="331451F5">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jc w:val="both"/>
        <w:textAlignment w:val="auto"/>
        <w:rPr>
          <w:rFonts w:hint="eastAsia" w:ascii="仿宋_GB2312" w:hAnsi="仿宋_GB2312" w:eastAsia="仿宋_GB2312" w:cs="仿宋_GB2312"/>
          <w:kern w:val="2"/>
          <w:sz w:val="32"/>
          <w:szCs w:val="32"/>
          <w:highlight w:val="none"/>
          <w:lang w:eastAsia="zh-CN"/>
        </w:rPr>
      </w:pPr>
      <w:r>
        <w:rPr>
          <w:rFonts w:hint="eastAsia" w:ascii="仿宋_GB2312" w:hAnsi="仿宋_GB2312" w:eastAsia="仿宋_GB2312" w:cs="仿宋_GB2312"/>
          <w:kern w:val="2"/>
          <w:sz w:val="32"/>
          <w:szCs w:val="32"/>
          <w:highlight w:val="none"/>
          <w:lang w:eastAsia="zh-CN"/>
        </w:rPr>
        <w:t>新疆维吾尔自治区环境保护科学研究院成立于1976年5月，我院是自治区唯一从事环境基础科学和应用科学研究的社会公益类专业科研机构，宗旨和业务范围：开展环境保护科学研究，促进科技发展。干旱生态研究，环境保护技术研究，环境影响综合评价，环境工程设计，环境分析测试，相关技术咨询服务。</w:t>
      </w:r>
    </w:p>
    <w:p w14:paraId="219F9F6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outlineLvl w:val="1"/>
        <w:rPr>
          <w:rFonts w:ascii="黑体" w:eastAsia="黑体"/>
          <w:b w:val="0"/>
          <w:sz w:val="32"/>
          <w:szCs w:val="32"/>
        </w:rPr>
      </w:pPr>
      <w:r>
        <w:rPr>
          <w:rFonts w:ascii="黑体" w:eastAsia="黑体"/>
          <w:b w:val="0"/>
          <w:sz w:val="32"/>
          <w:szCs w:val="32"/>
        </w:rPr>
        <w:t>二、机构设置</w:t>
      </w:r>
    </w:p>
    <w:p w14:paraId="1173E691">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jc w:val="both"/>
        <w:textAlignment w:val="auto"/>
        <w:rPr>
          <w:rFonts w:hint="eastAsia" w:ascii="仿宋_GB2312" w:hAnsi="仿宋_GB2312" w:eastAsia="仿宋_GB2312" w:cs="仿宋_GB2312"/>
          <w:kern w:val="2"/>
          <w:sz w:val="32"/>
          <w:szCs w:val="32"/>
          <w:highlight w:val="none"/>
          <w:lang w:eastAsia="zh-CN"/>
        </w:rPr>
      </w:pPr>
      <w:r>
        <w:rPr>
          <w:rFonts w:hint="eastAsia" w:ascii="仿宋_GB2312" w:hAnsi="仿宋_GB2312" w:eastAsia="仿宋_GB2312" w:cs="仿宋_GB2312"/>
          <w:kern w:val="2"/>
          <w:sz w:val="32"/>
          <w:szCs w:val="32"/>
          <w:highlight w:val="none"/>
          <w:lang w:eastAsia="zh-CN"/>
        </w:rPr>
        <w:t>新疆维吾尔自治区环境保护科学研究院无下属预算单位。</w:t>
      </w:r>
    </w:p>
    <w:p w14:paraId="53CD6FEE">
      <w:pPr>
        <w:keepNext w:val="0"/>
        <w:keepLines w:val="0"/>
        <w:pageBreakBefore w:val="0"/>
        <w:widowControl/>
        <w:kinsoku/>
        <w:wordWrap/>
        <w:overflowPunct/>
        <w:topLinePunct w:val="0"/>
        <w:autoSpaceDE/>
        <w:autoSpaceDN/>
        <w:bidi w:val="0"/>
        <w:adjustRightInd/>
        <w:snapToGrid/>
        <w:spacing w:line="240" w:lineRule="auto"/>
        <w:textAlignment w:val="auto"/>
      </w:pPr>
      <w:r>
        <w:rPr>
          <w:b w:val="0"/>
          <w:sz w:val="0"/>
          <w:szCs w:val="0"/>
        </w:rPr>
        <w:br w:type="page"/>
      </w:r>
    </w:p>
    <w:p w14:paraId="10F643A2">
      <w:pPr>
        <w:widowControl w:val="0"/>
        <w:spacing w:after="0" w:line="600" w:lineRule="exact"/>
        <w:ind w:firstLine="640" w:firstLineChars="200"/>
        <w:jc w:val="center"/>
        <w:outlineLvl w:val="1"/>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lang w:val="en-US" w:eastAsia="zh-CN"/>
        </w:rPr>
        <w:t>第二部分 部门决算情况说明</w:t>
      </w:r>
    </w:p>
    <w:p w14:paraId="21D845B0">
      <w:pPr>
        <w:widowControl w:val="0"/>
        <w:spacing w:after="0" w:line="600" w:lineRule="exact"/>
        <w:ind w:firstLine="640" w:firstLineChars="200"/>
        <w:jc w:val="both"/>
        <w:outlineLvl w:val="1"/>
        <w:rPr>
          <w:rFonts w:hint="eastAsia" w:ascii="黑体" w:hAnsi="黑体" w:eastAsia="黑体" w:cs="宋体"/>
          <w:bCs/>
          <w:kern w:val="0"/>
          <w:sz w:val="32"/>
          <w:szCs w:val="32"/>
          <w:lang w:eastAsia="zh-CN"/>
        </w:rPr>
      </w:pPr>
      <w:r>
        <w:rPr>
          <w:rFonts w:hint="eastAsia" w:ascii="黑体" w:hAnsi="黑体" w:eastAsia="黑体" w:cs="宋体"/>
          <w:bCs/>
          <w:kern w:val="0"/>
          <w:sz w:val="32"/>
          <w:szCs w:val="32"/>
          <w:lang w:eastAsia="zh-CN"/>
        </w:rPr>
        <w:t>一、收入支出决算总体情况说明</w:t>
      </w:r>
    </w:p>
    <w:p w14:paraId="4756BD2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both"/>
        <w:textAlignment w:val="auto"/>
        <w:rPr>
          <w:rFonts w:ascii="仿宋_GB2312" w:eastAsia="仿宋_GB2312"/>
          <w:sz w:val="32"/>
          <w:szCs w:val="32"/>
        </w:rPr>
      </w:pPr>
      <w:r>
        <w:rPr>
          <w:rFonts w:hint="eastAsia" w:ascii="仿宋_GB2312" w:hAnsi="Times New Roman" w:eastAsia="仿宋_GB2312" w:cs="Times New Roman"/>
          <w:b/>
          <w:bCs/>
          <w:spacing w:val="0"/>
          <w:kern w:val="2"/>
          <w:sz w:val="32"/>
          <w:szCs w:val="32"/>
          <w:highlight w:val="none"/>
          <w:lang w:eastAsia="zh-CN"/>
        </w:rPr>
        <w:t>2025年度收入总计6,061.55万元，</w:t>
      </w:r>
      <w:r>
        <w:rPr>
          <w:rFonts w:ascii="仿宋_GB2312" w:eastAsia="仿宋_GB2312"/>
          <w:b w:val="0"/>
          <w:sz w:val="32"/>
          <w:szCs w:val="32"/>
        </w:rPr>
        <w:t>其中：本年收入合计5,494.09万元，使用非财政拨款结余（含专用结余）0.00万元，年初结转和结余567.45万元。</w:t>
      </w:r>
    </w:p>
    <w:p w14:paraId="6C23254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both"/>
        <w:textAlignment w:val="auto"/>
        <w:rPr>
          <w:rFonts w:ascii="仿宋_GB2312" w:eastAsia="仿宋_GB2312"/>
          <w:sz w:val="32"/>
          <w:szCs w:val="32"/>
        </w:rPr>
      </w:pPr>
      <w:r>
        <w:rPr>
          <w:rFonts w:hint="eastAsia" w:ascii="仿宋_GB2312" w:hAnsi="Times New Roman" w:eastAsia="仿宋_GB2312" w:cs="Times New Roman"/>
          <w:b/>
          <w:bCs/>
          <w:spacing w:val="0"/>
          <w:kern w:val="2"/>
          <w:sz w:val="32"/>
          <w:szCs w:val="32"/>
          <w:highlight w:val="none"/>
          <w:lang w:eastAsia="zh-CN"/>
        </w:rPr>
        <w:t>2025年度支出总计6,061.55万元，</w:t>
      </w:r>
      <w:r>
        <w:rPr>
          <w:rFonts w:ascii="仿宋_GB2312" w:eastAsia="仿宋_GB2312"/>
          <w:b w:val="0"/>
          <w:sz w:val="32"/>
          <w:szCs w:val="32"/>
        </w:rPr>
        <w:t>其中：本年支出合计4,999.38万元，结余分配189.23万元，年末结转和结余872.93万元。</w:t>
      </w:r>
    </w:p>
    <w:p w14:paraId="3554EB5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both"/>
        <w:textAlignment w:val="auto"/>
        <w:rPr>
          <w:rFonts w:ascii="仿宋_GB2312" w:eastAsia="仿宋_GB2312"/>
          <w:sz w:val="32"/>
          <w:szCs w:val="32"/>
          <w:highlight w:val="none"/>
        </w:rPr>
      </w:pPr>
      <w:r>
        <w:rPr>
          <w:rFonts w:hint="eastAsia" w:ascii="仿宋_GB2312" w:hAnsi="Times New Roman" w:eastAsia="仿宋_GB2312" w:cs="Times New Roman"/>
          <w:b/>
          <w:bCs/>
          <w:spacing w:val="0"/>
          <w:kern w:val="2"/>
          <w:sz w:val="32"/>
          <w:szCs w:val="32"/>
          <w:highlight w:val="none"/>
          <w:lang w:eastAsia="zh-CN"/>
        </w:rPr>
        <w:t>收入支出总体与上年相比，</w:t>
      </w:r>
      <w:r>
        <w:rPr>
          <w:rFonts w:ascii="仿宋_GB2312" w:eastAsia="仿宋_GB2312"/>
          <w:b w:val="0"/>
          <w:sz w:val="32"/>
          <w:szCs w:val="32"/>
        </w:rPr>
        <w:t>增加408.65万元，增长7.23%，主要原因是</w:t>
      </w:r>
      <w:r>
        <w:rPr>
          <w:rFonts w:ascii="仿宋_GB2312" w:eastAsia="仿宋_GB2312"/>
          <w:b w:val="0"/>
          <w:sz w:val="32"/>
          <w:szCs w:val="32"/>
          <w:highlight w:val="none"/>
        </w:rPr>
        <w:t>：</w:t>
      </w:r>
      <w:r>
        <w:rPr>
          <w:rFonts w:hint="eastAsia" w:ascii="仿宋_GB2312" w:eastAsia="仿宋_GB2312"/>
          <w:b w:val="0"/>
          <w:sz w:val="32"/>
          <w:szCs w:val="32"/>
          <w:highlight w:val="none"/>
          <w:lang w:val="en-US" w:eastAsia="zh-CN"/>
        </w:rPr>
        <w:t>本年增加国家重点研发专项和自治区重大专项</w:t>
      </w:r>
      <w:r>
        <w:rPr>
          <w:rFonts w:ascii="仿宋_GB2312" w:eastAsia="仿宋_GB2312"/>
          <w:b w:val="0"/>
          <w:sz w:val="32"/>
          <w:szCs w:val="32"/>
          <w:highlight w:val="none"/>
        </w:rPr>
        <w:t>。</w:t>
      </w:r>
    </w:p>
    <w:p w14:paraId="1A2939BC">
      <w:pPr>
        <w:widowControl w:val="0"/>
        <w:spacing w:after="0" w:line="600" w:lineRule="exact"/>
        <w:ind w:firstLine="640" w:firstLineChars="200"/>
        <w:jc w:val="both"/>
        <w:outlineLvl w:val="1"/>
        <w:rPr>
          <w:rFonts w:hint="eastAsia" w:ascii="黑体" w:hAnsi="黑体" w:eastAsia="黑体" w:cs="宋体"/>
          <w:bCs/>
          <w:kern w:val="0"/>
          <w:sz w:val="32"/>
          <w:szCs w:val="32"/>
          <w:lang w:eastAsia="zh-CN"/>
        </w:rPr>
      </w:pPr>
      <w:r>
        <w:rPr>
          <w:rFonts w:hint="eastAsia" w:ascii="黑体" w:hAnsi="黑体" w:eastAsia="黑体" w:cs="宋体"/>
          <w:bCs/>
          <w:kern w:val="0"/>
          <w:sz w:val="32"/>
          <w:szCs w:val="32"/>
          <w:lang w:eastAsia="zh-CN"/>
        </w:rPr>
        <w:t>二、收入决算情况说明</w:t>
      </w:r>
    </w:p>
    <w:p w14:paraId="67E8EF4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both"/>
        <w:textAlignment w:val="auto"/>
        <w:rPr>
          <w:rFonts w:ascii="仿宋_GB2312" w:eastAsia="仿宋_GB2312"/>
          <w:sz w:val="32"/>
          <w:szCs w:val="32"/>
        </w:rPr>
      </w:pPr>
      <w:r>
        <w:rPr>
          <w:rFonts w:hint="eastAsia" w:ascii="仿宋_GB2312" w:hAnsi="Times New Roman" w:eastAsia="仿宋_GB2312" w:cs="Times New Roman"/>
          <w:b/>
          <w:bCs/>
          <w:spacing w:val="0"/>
          <w:kern w:val="2"/>
          <w:sz w:val="32"/>
          <w:szCs w:val="32"/>
          <w:highlight w:val="none"/>
          <w:lang w:eastAsia="zh-CN"/>
        </w:rPr>
        <w:t>本年收入5,494.09万元，</w:t>
      </w:r>
      <w:r>
        <w:rPr>
          <w:rFonts w:ascii="仿宋_GB2312" w:eastAsia="仿宋_GB2312"/>
          <w:b w:val="0"/>
          <w:sz w:val="32"/>
          <w:szCs w:val="32"/>
        </w:rPr>
        <w:t>其中：财政拨款收入3,639.19万元,占66.24%；上级补助收入0.00万元,占0.00%；事业收入1,066.43万元，占19.41%；经营收入0.00万元,占0.00%；附属单位上缴收入0.00万元，占0.00%；其他收入788.48万元，占14.35%。</w:t>
      </w:r>
    </w:p>
    <w:p w14:paraId="305A1505">
      <w:pPr>
        <w:widowControl w:val="0"/>
        <w:spacing w:after="0" w:line="600" w:lineRule="exact"/>
        <w:ind w:firstLine="640" w:firstLineChars="200"/>
        <w:jc w:val="both"/>
        <w:outlineLvl w:val="1"/>
        <w:rPr>
          <w:rFonts w:hint="eastAsia" w:ascii="黑体" w:hAnsi="黑体" w:eastAsia="黑体" w:cs="宋体"/>
          <w:bCs/>
          <w:kern w:val="0"/>
          <w:sz w:val="32"/>
          <w:szCs w:val="32"/>
          <w:lang w:eastAsia="zh-CN"/>
        </w:rPr>
      </w:pPr>
      <w:r>
        <w:rPr>
          <w:rFonts w:hint="eastAsia" w:ascii="黑体" w:hAnsi="黑体" w:eastAsia="黑体" w:cs="宋体"/>
          <w:bCs/>
          <w:kern w:val="0"/>
          <w:sz w:val="32"/>
          <w:szCs w:val="32"/>
          <w:lang w:eastAsia="zh-CN"/>
        </w:rPr>
        <w:t>三、支出决算情况说明</w:t>
      </w:r>
    </w:p>
    <w:p w14:paraId="308B1829">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pacing w:val="0"/>
          <w:kern w:val="2"/>
          <w:sz w:val="32"/>
          <w:szCs w:val="32"/>
          <w:highlight w:val="none"/>
          <w:lang w:eastAsia="zh-CN"/>
        </w:rPr>
        <w:t>本年支出4,999.38万元，</w:t>
      </w:r>
      <w:r>
        <w:rPr>
          <w:rFonts w:hint="eastAsia" w:ascii="仿宋_GB2312" w:hAnsi="仿宋_GB2312" w:eastAsia="仿宋_GB2312" w:cs="仿宋_GB2312"/>
          <w:b w:val="0"/>
          <w:sz w:val="32"/>
          <w:szCs w:val="32"/>
        </w:rPr>
        <w:t>其中：基本支出2,377.81万元，占47.56%；项目支出2,621.57万元，占52.44%；上缴上级支出0.00万元，占0.00%；经营支出0.00万元，占0.00%；对附属单位补助支出0.00万元，占0.00%。</w:t>
      </w:r>
    </w:p>
    <w:p w14:paraId="030A162F">
      <w:pPr>
        <w:widowControl w:val="0"/>
        <w:spacing w:after="0" w:line="600" w:lineRule="exact"/>
        <w:ind w:firstLine="640" w:firstLineChars="200"/>
        <w:jc w:val="both"/>
        <w:outlineLvl w:val="1"/>
        <w:rPr>
          <w:rFonts w:hint="eastAsia" w:ascii="黑体" w:hAnsi="黑体" w:eastAsia="黑体" w:cs="宋体"/>
          <w:bCs/>
          <w:kern w:val="0"/>
          <w:sz w:val="32"/>
          <w:szCs w:val="32"/>
          <w:lang w:eastAsia="zh-CN"/>
        </w:rPr>
      </w:pPr>
      <w:r>
        <w:rPr>
          <w:rFonts w:hint="eastAsia" w:ascii="黑体" w:hAnsi="黑体" w:eastAsia="黑体" w:cs="宋体"/>
          <w:bCs/>
          <w:kern w:val="0"/>
          <w:sz w:val="32"/>
          <w:szCs w:val="32"/>
          <w:lang w:eastAsia="zh-CN"/>
        </w:rPr>
        <w:t>四、财政拨款收入支出决算总体情况说明</w:t>
      </w:r>
    </w:p>
    <w:p w14:paraId="11F8918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both"/>
        <w:textAlignment w:val="auto"/>
        <w:rPr>
          <w:rFonts w:ascii="仿宋_GB2312" w:eastAsia="仿宋_GB2312"/>
          <w:sz w:val="32"/>
          <w:szCs w:val="32"/>
        </w:rPr>
      </w:pPr>
      <w:r>
        <w:rPr>
          <w:rFonts w:hint="eastAsia" w:ascii="仿宋_GB2312" w:hAnsi="Times New Roman" w:eastAsia="仿宋_GB2312" w:cs="Times New Roman"/>
          <w:b/>
          <w:bCs/>
          <w:spacing w:val="0"/>
          <w:kern w:val="2"/>
          <w:sz w:val="32"/>
          <w:szCs w:val="32"/>
          <w:highlight w:val="none"/>
          <w:lang w:eastAsia="zh-CN"/>
        </w:rPr>
        <w:t>2025年度财政拨款收入总计3,639.19万元，</w:t>
      </w:r>
      <w:r>
        <w:rPr>
          <w:rFonts w:ascii="仿宋_GB2312" w:eastAsia="仿宋_GB2312"/>
          <w:b w:val="0"/>
          <w:sz w:val="32"/>
          <w:szCs w:val="32"/>
        </w:rPr>
        <w:t>其中：年初财政拨款结转和结余0.00万元，本年财政拨款收入3,639.19万元。</w:t>
      </w:r>
      <w:r>
        <w:rPr>
          <w:rFonts w:hint="eastAsia" w:ascii="仿宋_GB2312" w:hAnsi="Times New Roman" w:eastAsia="仿宋_GB2312" w:cs="Times New Roman"/>
          <w:b/>
          <w:bCs/>
          <w:spacing w:val="0"/>
          <w:kern w:val="2"/>
          <w:sz w:val="32"/>
          <w:szCs w:val="32"/>
          <w:highlight w:val="none"/>
          <w:lang w:eastAsia="zh-CN"/>
        </w:rPr>
        <w:t>财政拨款支出总计3,639.19万元，</w:t>
      </w:r>
      <w:r>
        <w:rPr>
          <w:rFonts w:ascii="仿宋_GB2312" w:eastAsia="仿宋_GB2312"/>
          <w:b w:val="0"/>
          <w:sz w:val="32"/>
          <w:szCs w:val="32"/>
        </w:rPr>
        <w:t>其中：年末财政拨款结转和结余0.00万元，本年财政拨款支出3,639.19万元。</w:t>
      </w:r>
    </w:p>
    <w:p w14:paraId="71FCD87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both"/>
        <w:textAlignment w:val="auto"/>
        <w:rPr>
          <w:rFonts w:ascii="仿宋_GB2312" w:eastAsia="仿宋_GB2312"/>
          <w:sz w:val="32"/>
          <w:szCs w:val="32"/>
          <w:highlight w:val="none"/>
        </w:rPr>
      </w:pPr>
      <w:r>
        <w:rPr>
          <w:rFonts w:hint="eastAsia" w:ascii="仿宋_GB2312" w:hAnsi="Times New Roman" w:eastAsia="仿宋_GB2312" w:cs="Times New Roman"/>
          <w:b/>
          <w:bCs/>
          <w:spacing w:val="0"/>
          <w:kern w:val="2"/>
          <w:sz w:val="32"/>
          <w:szCs w:val="32"/>
          <w:highlight w:val="none"/>
          <w:lang w:eastAsia="zh-CN"/>
        </w:rPr>
        <w:t>财政拨款收入支出总体与上年相比，</w:t>
      </w:r>
      <w:r>
        <w:rPr>
          <w:rFonts w:ascii="仿宋_GB2312" w:eastAsia="仿宋_GB2312"/>
          <w:b w:val="0"/>
          <w:sz w:val="32"/>
          <w:szCs w:val="32"/>
        </w:rPr>
        <w:t>减少5.35万元，下降0.15%，主要原因是</w:t>
      </w:r>
      <w:r>
        <w:rPr>
          <w:rFonts w:ascii="仿宋_GB2312" w:eastAsia="仿宋_GB2312"/>
          <w:b w:val="0"/>
          <w:sz w:val="32"/>
          <w:szCs w:val="32"/>
          <w:highlight w:val="none"/>
        </w:rPr>
        <w:t>：</w:t>
      </w:r>
      <w:r>
        <w:rPr>
          <w:rFonts w:hint="eastAsia" w:ascii="仿宋_GB2312" w:eastAsia="仿宋_GB2312"/>
          <w:b w:val="0"/>
          <w:sz w:val="32"/>
          <w:szCs w:val="32"/>
          <w:highlight w:val="none"/>
        </w:rPr>
        <w:t>本年单位中央水污染防治专项资金减少</w:t>
      </w:r>
      <w:r>
        <w:rPr>
          <w:rFonts w:ascii="仿宋_GB2312" w:eastAsia="仿宋_GB2312"/>
          <w:b w:val="0"/>
          <w:sz w:val="32"/>
          <w:szCs w:val="32"/>
          <w:highlight w:val="none"/>
        </w:rPr>
        <w:t>。</w:t>
      </w:r>
      <w:r>
        <w:rPr>
          <w:rFonts w:hint="eastAsia" w:ascii="仿宋_GB2312" w:hAnsi="Times New Roman" w:eastAsia="仿宋_GB2312" w:cs="Times New Roman"/>
          <w:b/>
          <w:bCs/>
          <w:spacing w:val="0"/>
          <w:kern w:val="2"/>
          <w:sz w:val="32"/>
          <w:szCs w:val="32"/>
          <w:highlight w:val="none"/>
          <w:lang w:eastAsia="zh-CN"/>
        </w:rPr>
        <w:t>与年初预算相比，</w:t>
      </w:r>
      <w:r>
        <w:rPr>
          <w:rFonts w:ascii="仿宋_GB2312" w:eastAsia="仿宋_GB2312"/>
          <w:b w:val="0"/>
          <w:sz w:val="32"/>
          <w:szCs w:val="32"/>
        </w:rPr>
        <w:t>年初预算数3,713.34万元，决算数3,639.19万元，预决算差异率-2.00%，主要原因是</w:t>
      </w:r>
      <w:r>
        <w:rPr>
          <w:rFonts w:ascii="仿宋_GB2312" w:eastAsia="仿宋_GB2312"/>
          <w:b w:val="0"/>
          <w:sz w:val="32"/>
          <w:szCs w:val="32"/>
          <w:highlight w:val="none"/>
        </w:rPr>
        <w:t>：</w:t>
      </w:r>
      <w:r>
        <w:rPr>
          <w:rFonts w:hint="eastAsia" w:ascii="仿宋_GB2312" w:eastAsia="仿宋_GB2312"/>
          <w:b w:val="0"/>
          <w:sz w:val="32"/>
          <w:szCs w:val="32"/>
          <w:highlight w:val="none"/>
        </w:rPr>
        <w:t>较预算减少中央水污染防治专项资金</w:t>
      </w:r>
      <w:r>
        <w:rPr>
          <w:rFonts w:hint="eastAsia" w:ascii="仿宋_GB2312" w:eastAsia="仿宋_GB2312"/>
          <w:b w:val="0"/>
          <w:sz w:val="32"/>
          <w:szCs w:val="32"/>
          <w:highlight w:val="none"/>
          <w:lang w:eastAsia="zh-CN"/>
        </w:rPr>
        <w:t>，</w:t>
      </w:r>
      <w:r>
        <w:rPr>
          <w:rFonts w:hint="eastAsia" w:ascii="仿宋_GB2312" w:eastAsia="仿宋_GB2312"/>
          <w:b w:val="0"/>
          <w:sz w:val="32"/>
          <w:szCs w:val="32"/>
          <w:highlight w:val="none"/>
          <w:lang w:val="en-US" w:eastAsia="zh-CN"/>
        </w:rPr>
        <w:t>导致预决算存在差异</w:t>
      </w:r>
      <w:r>
        <w:rPr>
          <w:rFonts w:ascii="仿宋_GB2312" w:eastAsia="仿宋_GB2312"/>
          <w:b w:val="0"/>
          <w:sz w:val="32"/>
          <w:szCs w:val="32"/>
          <w:highlight w:val="none"/>
        </w:rPr>
        <w:t>。</w:t>
      </w:r>
    </w:p>
    <w:p w14:paraId="16F7FC66">
      <w:pPr>
        <w:widowControl w:val="0"/>
        <w:spacing w:after="0" w:line="600" w:lineRule="exact"/>
        <w:ind w:firstLine="640" w:firstLineChars="200"/>
        <w:jc w:val="both"/>
        <w:outlineLvl w:val="1"/>
        <w:rPr>
          <w:rFonts w:hint="eastAsia" w:ascii="黑体" w:hAnsi="黑体" w:eastAsia="黑体" w:cs="宋体"/>
          <w:bCs/>
          <w:kern w:val="0"/>
          <w:sz w:val="32"/>
          <w:szCs w:val="32"/>
          <w:lang w:eastAsia="zh-CN"/>
        </w:rPr>
      </w:pPr>
      <w:r>
        <w:rPr>
          <w:rFonts w:hint="eastAsia" w:ascii="黑体" w:hAnsi="黑体" w:eastAsia="黑体" w:cs="宋体"/>
          <w:bCs/>
          <w:kern w:val="0"/>
          <w:sz w:val="32"/>
          <w:szCs w:val="32"/>
          <w:lang w:eastAsia="zh-CN"/>
        </w:rPr>
        <w:t>五、一般公共预算财政拨款支出决算情况说明</w:t>
      </w:r>
    </w:p>
    <w:p w14:paraId="0BB1EC86">
      <w:pPr>
        <w:keepNext w:val="0"/>
        <w:keepLines w:val="0"/>
        <w:pageBreakBefore w:val="0"/>
        <w:widowControl/>
        <w:kinsoku w:val="0"/>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仿宋_GB2312" w:eastAsia="仿宋_GB2312"/>
          <w:b w:val="0"/>
          <w:sz w:val="32"/>
          <w:szCs w:val="32"/>
          <w:highlight w:val="none"/>
        </w:rPr>
      </w:pPr>
      <w:r>
        <w:rPr>
          <w:rFonts w:ascii="仿宋_GB2312" w:eastAsia="仿宋_GB2312"/>
          <w:b w:val="0"/>
          <w:sz w:val="32"/>
          <w:szCs w:val="32"/>
          <w:highlight w:val="none"/>
        </w:rPr>
        <w:t>按照党中央、国务院关于党政机关习惯过紧日子的有关要求，厉行节约办一切事业，严控一般性支出。同时坚持有保有压，优化支出结构，提高资金使用效率，合理保障</w:t>
      </w:r>
      <w:r>
        <w:rPr>
          <w:rFonts w:hint="eastAsia" w:ascii="仿宋_GB2312" w:eastAsia="仿宋_GB2312"/>
          <w:b w:val="0"/>
          <w:sz w:val="32"/>
          <w:szCs w:val="32"/>
          <w:highlight w:val="none"/>
          <w:lang w:val="en-US" w:eastAsia="zh-CN"/>
        </w:rPr>
        <w:t>单位正常履职运转</w:t>
      </w:r>
      <w:r>
        <w:rPr>
          <w:rFonts w:ascii="仿宋_GB2312" w:eastAsia="仿宋_GB2312"/>
          <w:b w:val="0"/>
          <w:sz w:val="32"/>
          <w:szCs w:val="32"/>
          <w:highlight w:val="none"/>
        </w:rPr>
        <w:t>、</w:t>
      </w:r>
      <w:r>
        <w:rPr>
          <w:rFonts w:hint="eastAsia" w:ascii="仿宋_GB2312" w:eastAsia="仿宋_GB2312"/>
          <w:b w:val="0"/>
          <w:sz w:val="32"/>
          <w:szCs w:val="32"/>
          <w:highlight w:val="none"/>
          <w:lang w:val="en-US" w:eastAsia="zh-CN"/>
        </w:rPr>
        <w:t>开展生态环境保护重点领域科技攻关、科技助力美丽新疆建设</w:t>
      </w:r>
      <w:r>
        <w:rPr>
          <w:rFonts w:ascii="仿宋_GB2312" w:eastAsia="仿宋_GB2312"/>
          <w:b w:val="0"/>
          <w:sz w:val="32"/>
          <w:szCs w:val="32"/>
          <w:highlight w:val="none"/>
        </w:rPr>
        <w:t>等重点支出，体现在有关支出科目中。</w:t>
      </w:r>
    </w:p>
    <w:p w14:paraId="796675F0">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仿宋_GB2312" w:eastAsia="仿宋_GB2312"/>
          <w:sz w:val="32"/>
          <w:szCs w:val="32"/>
          <w:highlight w:val="none"/>
        </w:rPr>
      </w:pPr>
      <w:r>
        <w:rPr>
          <w:rFonts w:ascii="仿宋_GB2312" w:eastAsia="仿宋_GB2312"/>
          <w:b w:val="0"/>
          <w:sz w:val="32"/>
          <w:szCs w:val="32"/>
          <w:highlight w:val="none"/>
        </w:rPr>
        <w:t>按照支出功能分类，科学技术支出（类）应用研究（款）机构运行（项）的支出占本年财政拨款支出总额的比重最高，2025年度决算数为1,424.92万元，占比39.15%，主要用于人员</w:t>
      </w:r>
      <w:r>
        <w:rPr>
          <w:rFonts w:hint="eastAsia" w:ascii="仿宋_GB2312" w:eastAsia="仿宋_GB2312"/>
          <w:b w:val="0"/>
          <w:sz w:val="32"/>
          <w:szCs w:val="32"/>
          <w:highlight w:val="none"/>
          <w:lang w:val="en-US" w:eastAsia="zh-CN"/>
        </w:rPr>
        <w:t>工资福利、日常公用经费</w:t>
      </w:r>
      <w:r>
        <w:rPr>
          <w:rFonts w:ascii="仿宋_GB2312" w:eastAsia="仿宋_GB2312"/>
          <w:b w:val="0"/>
          <w:sz w:val="32"/>
          <w:szCs w:val="32"/>
          <w:highlight w:val="none"/>
        </w:rPr>
        <w:t>。</w:t>
      </w:r>
    </w:p>
    <w:p w14:paraId="44EDD3CA">
      <w:pPr>
        <w:widowControl w:val="0"/>
        <w:spacing w:after="0" w:line="600" w:lineRule="exact"/>
        <w:ind w:firstLine="643" w:firstLineChars="200"/>
        <w:jc w:val="both"/>
        <w:outlineLvl w:val="2"/>
        <w:rPr>
          <w:rFonts w:hint="eastAsia" w:ascii="楷体_GB2312" w:hAnsi="楷体_GB2312" w:eastAsia="楷体_GB2312" w:cs="楷体_GB2312"/>
          <w:b/>
          <w:bCs/>
          <w:kern w:val="2"/>
          <w:sz w:val="32"/>
          <w:szCs w:val="32"/>
          <w:lang w:eastAsia="zh-CN"/>
        </w:rPr>
      </w:pPr>
      <w:r>
        <w:rPr>
          <w:rFonts w:hint="eastAsia" w:ascii="楷体_GB2312" w:hAnsi="楷体_GB2312" w:eastAsia="楷体_GB2312" w:cs="楷体_GB2312"/>
          <w:b/>
          <w:bCs/>
          <w:kern w:val="2"/>
          <w:sz w:val="32"/>
          <w:szCs w:val="32"/>
          <w:lang w:eastAsia="zh-CN"/>
        </w:rPr>
        <w:t>（一）一般公共预算财政拨款支出决算总体情况</w:t>
      </w:r>
    </w:p>
    <w:p w14:paraId="4F8775C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both"/>
        <w:textAlignment w:val="auto"/>
        <w:rPr>
          <w:rFonts w:ascii="仿宋_GB2312" w:eastAsia="仿宋_GB2312"/>
          <w:sz w:val="32"/>
          <w:szCs w:val="32"/>
          <w:highlight w:val="none"/>
        </w:rPr>
      </w:pPr>
      <w:r>
        <w:rPr>
          <w:rFonts w:hint="eastAsia" w:ascii="仿宋_GB2312" w:hAnsi="Times New Roman" w:eastAsia="仿宋_GB2312" w:cs="Times New Roman"/>
          <w:b/>
          <w:bCs/>
          <w:spacing w:val="0"/>
          <w:kern w:val="2"/>
          <w:sz w:val="32"/>
          <w:szCs w:val="32"/>
          <w:highlight w:val="none"/>
          <w:lang w:eastAsia="zh-CN"/>
        </w:rPr>
        <w:t>2025年度一般公共预算财政拨款支出3,639.19万元，</w:t>
      </w:r>
      <w:r>
        <w:rPr>
          <w:rFonts w:ascii="仿宋_GB2312" w:eastAsia="仿宋_GB2312"/>
          <w:b w:val="0"/>
          <w:sz w:val="32"/>
          <w:szCs w:val="32"/>
          <w:highlight w:val="none"/>
        </w:rPr>
        <w:t>占本年支出合计的72.79%。</w:t>
      </w:r>
      <w:r>
        <w:rPr>
          <w:rFonts w:hint="eastAsia" w:ascii="仿宋_GB2312" w:hAnsi="Times New Roman" w:eastAsia="仿宋_GB2312" w:cs="Times New Roman"/>
          <w:b/>
          <w:bCs/>
          <w:spacing w:val="0"/>
          <w:kern w:val="2"/>
          <w:sz w:val="32"/>
          <w:szCs w:val="32"/>
          <w:highlight w:val="none"/>
          <w:lang w:eastAsia="zh-CN"/>
        </w:rPr>
        <w:t>与上年相比，</w:t>
      </w:r>
      <w:r>
        <w:rPr>
          <w:rFonts w:ascii="仿宋_GB2312" w:eastAsia="仿宋_GB2312"/>
          <w:b w:val="0"/>
          <w:sz w:val="32"/>
          <w:szCs w:val="32"/>
          <w:highlight w:val="none"/>
        </w:rPr>
        <w:t>减少5.35万元，下降0.15%，主要原因是：</w:t>
      </w:r>
      <w:r>
        <w:rPr>
          <w:rFonts w:hint="eastAsia" w:ascii="仿宋_GB2312" w:eastAsia="仿宋_GB2312"/>
          <w:b w:val="0"/>
          <w:sz w:val="32"/>
          <w:szCs w:val="32"/>
          <w:highlight w:val="none"/>
        </w:rPr>
        <w:t>本年单位中央水污染防治专项资金减少</w:t>
      </w:r>
      <w:r>
        <w:rPr>
          <w:rFonts w:ascii="仿宋_GB2312" w:eastAsia="仿宋_GB2312"/>
          <w:b w:val="0"/>
          <w:sz w:val="32"/>
          <w:szCs w:val="32"/>
          <w:highlight w:val="none"/>
        </w:rPr>
        <w:t>。</w:t>
      </w:r>
      <w:r>
        <w:rPr>
          <w:rFonts w:hint="eastAsia" w:ascii="仿宋_GB2312" w:hAnsi="Times New Roman" w:eastAsia="仿宋_GB2312" w:cs="Times New Roman"/>
          <w:b/>
          <w:bCs/>
          <w:spacing w:val="0"/>
          <w:kern w:val="2"/>
          <w:sz w:val="32"/>
          <w:szCs w:val="32"/>
          <w:highlight w:val="none"/>
          <w:lang w:eastAsia="zh-CN"/>
        </w:rPr>
        <w:t>与年初预算相比，</w:t>
      </w:r>
      <w:r>
        <w:rPr>
          <w:rFonts w:ascii="仿宋_GB2312" w:eastAsia="仿宋_GB2312"/>
          <w:b w:val="0"/>
          <w:sz w:val="32"/>
          <w:szCs w:val="32"/>
          <w:highlight w:val="none"/>
        </w:rPr>
        <w:t>年初预算数3,713.34万元，决算数3,639.19万元，预决算差异率-2.00%，主要原因是：</w:t>
      </w:r>
      <w:r>
        <w:rPr>
          <w:rFonts w:hint="eastAsia" w:ascii="仿宋_GB2312" w:eastAsia="仿宋_GB2312"/>
          <w:b w:val="0"/>
          <w:sz w:val="32"/>
          <w:szCs w:val="32"/>
          <w:highlight w:val="none"/>
        </w:rPr>
        <w:t>较预算减少中央水污染防治专项资金</w:t>
      </w:r>
      <w:r>
        <w:rPr>
          <w:rFonts w:hint="eastAsia" w:ascii="仿宋_GB2312" w:eastAsia="仿宋_GB2312"/>
          <w:b w:val="0"/>
          <w:sz w:val="32"/>
          <w:szCs w:val="32"/>
          <w:highlight w:val="none"/>
          <w:lang w:eastAsia="zh-CN"/>
        </w:rPr>
        <w:t>，</w:t>
      </w:r>
      <w:r>
        <w:rPr>
          <w:rFonts w:hint="eastAsia" w:ascii="仿宋_GB2312" w:eastAsia="仿宋_GB2312"/>
          <w:b w:val="0"/>
          <w:sz w:val="32"/>
          <w:szCs w:val="32"/>
          <w:highlight w:val="none"/>
          <w:lang w:val="en-US" w:eastAsia="zh-CN"/>
        </w:rPr>
        <w:t>导致预决算存在差异</w:t>
      </w:r>
      <w:r>
        <w:rPr>
          <w:rFonts w:ascii="仿宋_GB2312" w:eastAsia="仿宋_GB2312"/>
          <w:b w:val="0"/>
          <w:sz w:val="32"/>
          <w:szCs w:val="32"/>
          <w:highlight w:val="none"/>
        </w:rPr>
        <w:t>。</w:t>
      </w:r>
    </w:p>
    <w:p w14:paraId="295F20DE">
      <w:pPr>
        <w:widowControl w:val="0"/>
        <w:spacing w:after="0" w:line="600" w:lineRule="exact"/>
        <w:ind w:firstLine="643" w:firstLineChars="200"/>
        <w:jc w:val="both"/>
        <w:outlineLvl w:val="2"/>
        <w:rPr>
          <w:rFonts w:hint="eastAsia" w:ascii="楷体_GB2312" w:hAnsi="楷体_GB2312" w:eastAsia="楷体_GB2312" w:cs="楷体_GB2312"/>
          <w:b/>
          <w:bCs/>
          <w:kern w:val="2"/>
          <w:sz w:val="32"/>
          <w:szCs w:val="32"/>
          <w:lang w:eastAsia="zh-CN"/>
        </w:rPr>
      </w:pPr>
      <w:r>
        <w:rPr>
          <w:rFonts w:hint="eastAsia" w:ascii="楷体_GB2312" w:hAnsi="楷体_GB2312" w:eastAsia="楷体_GB2312" w:cs="楷体_GB2312"/>
          <w:b/>
          <w:bCs/>
          <w:kern w:val="2"/>
          <w:sz w:val="32"/>
          <w:szCs w:val="32"/>
          <w:lang w:eastAsia="zh-CN"/>
        </w:rPr>
        <w:t>（二）一般公共预算财政拨款支出决算结构情况</w:t>
      </w:r>
    </w:p>
    <w:p w14:paraId="3B65F87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1.科学技术支出（类）1,424.92万元，占39.15%。</w:t>
      </w:r>
    </w:p>
    <w:p w14:paraId="434058E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2.节能环保支出（类）2,214.27万元，占60.85%。</w:t>
      </w:r>
    </w:p>
    <w:p w14:paraId="1B387CFB">
      <w:pPr>
        <w:widowControl w:val="0"/>
        <w:spacing w:after="0" w:line="600" w:lineRule="exact"/>
        <w:ind w:firstLine="643" w:firstLineChars="200"/>
        <w:jc w:val="both"/>
        <w:outlineLvl w:val="2"/>
        <w:rPr>
          <w:rFonts w:hint="eastAsia" w:ascii="楷体_GB2312" w:hAnsi="楷体_GB2312" w:eastAsia="楷体_GB2312" w:cs="楷体_GB2312"/>
          <w:b/>
          <w:bCs/>
          <w:kern w:val="2"/>
          <w:sz w:val="32"/>
          <w:szCs w:val="32"/>
          <w:lang w:eastAsia="zh-CN"/>
        </w:rPr>
      </w:pPr>
      <w:r>
        <w:rPr>
          <w:rFonts w:hint="eastAsia" w:ascii="楷体_GB2312" w:hAnsi="楷体_GB2312" w:eastAsia="楷体_GB2312" w:cs="楷体_GB2312"/>
          <w:b/>
          <w:bCs/>
          <w:kern w:val="2"/>
          <w:sz w:val="32"/>
          <w:szCs w:val="32"/>
          <w:lang w:eastAsia="zh-CN"/>
        </w:rPr>
        <w:t>（三）一般公共预算财政拨款支出决算具体情况</w:t>
      </w:r>
    </w:p>
    <w:p w14:paraId="788DD16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1.科学技术支出（类）应用研究（款）机构运行（项）：支出决算数为1,424.92万元，比上年决算增加19.34万元，增长1.38%，主要原因是：</w:t>
      </w:r>
      <w:r>
        <w:rPr>
          <w:rFonts w:hint="eastAsia" w:ascii="仿宋_GB2312" w:eastAsia="仿宋_GB2312"/>
          <w:b w:val="0"/>
          <w:sz w:val="32"/>
          <w:szCs w:val="32"/>
          <w:highlight w:val="none"/>
        </w:rPr>
        <w:t>较上年增</w:t>
      </w:r>
      <w:r>
        <w:rPr>
          <w:rFonts w:hint="eastAsia" w:ascii="仿宋_GB2312" w:eastAsia="仿宋_GB2312"/>
          <w:b w:val="0"/>
          <w:sz w:val="32"/>
          <w:szCs w:val="32"/>
          <w:highlight w:val="none"/>
          <w:lang w:val="en-US" w:eastAsia="zh-CN"/>
        </w:rPr>
        <w:t>加</w:t>
      </w:r>
      <w:r>
        <w:rPr>
          <w:rFonts w:ascii="仿宋_GB2312" w:eastAsia="仿宋_GB2312"/>
          <w:b w:val="0"/>
          <w:sz w:val="32"/>
          <w:szCs w:val="32"/>
          <w:highlight w:val="none"/>
        </w:rPr>
        <w:t>基本工资和基本医疗保险。</w:t>
      </w:r>
    </w:p>
    <w:p w14:paraId="6124C5D8">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textAlignment w:val="auto"/>
        <w:rPr>
          <w:rFonts w:hint="eastAsia" w:ascii="仿宋_GB2312" w:eastAsia="仿宋_GB2312"/>
          <w:sz w:val="32"/>
          <w:szCs w:val="32"/>
          <w:highlight w:val="none"/>
          <w:lang w:eastAsia="zh-CN"/>
        </w:rPr>
      </w:pPr>
      <w:r>
        <w:rPr>
          <w:rFonts w:ascii="仿宋_GB2312" w:eastAsia="仿宋_GB2312"/>
          <w:b w:val="0"/>
          <w:sz w:val="32"/>
          <w:szCs w:val="32"/>
          <w:highlight w:val="none"/>
        </w:rPr>
        <w:t>2.社会保障和就业支出（类）人力资源和社会保障管理事务（款）其他人力资源和社会保障管理事务支出（项）：支出决算数为0.00万元，比上年决算减少3.00万元，下降100.00%，主要原因是：</w:t>
      </w:r>
      <w:r>
        <w:rPr>
          <w:rFonts w:hint="eastAsia" w:ascii="仿宋_GB2312" w:eastAsia="仿宋_GB2312"/>
          <w:b w:val="0"/>
          <w:sz w:val="32"/>
          <w:szCs w:val="32"/>
          <w:highlight w:val="none"/>
        </w:rPr>
        <w:t>较上年增加自治区人社厅人事人才博士后专项</w:t>
      </w:r>
      <w:r>
        <w:rPr>
          <w:rFonts w:hint="eastAsia" w:ascii="仿宋_GB2312" w:eastAsia="仿宋_GB2312"/>
          <w:b w:val="0"/>
          <w:sz w:val="32"/>
          <w:szCs w:val="32"/>
          <w:highlight w:val="none"/>
          <w:lang w:eastAsia="zh-CN"/>
        </w:rPr>
        <w:t>。</w:t>
      </w:r>
    </w:p>
    <w:p w14:paraId="3D15267F">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textAlignment w:val="auto"/>
        <w:rPr>
          <w:rFonts w:hint="eastAsia" w:ascii="仿宋_GB2312" w:eastAsia="仿宋_GB2312"/>
          <w:sz w:val="32"/>
          <w:szCs w:val="32"/>
          <w:highlight w:val="none"/>
          <w:lang w:val="en-US" w:eastAsia="zh-CN"/>
        </w:rPr>
      </w:pPr>
      <w:r>
        <w:rPr>
          <w:rFonts w:ascii="仿宋_GB2312" w:eastAsia="仿宋_GB2312"/>
          <w:b w:val="0"/>
          <w:sz w:val="32"/>
          <w:szCs w:val="32"/>
          <w:highlight w:val="none"/>
        </w:rPr>
        <w:t>3.节能环保支出（类）环境保护管理事务（款）环境保护法规、规划及标准（项）：支出决算数为29.78万元，比上年决算增加29.78万元，增长100.00%，主要原因是：</w:t>
      </w:r>
      <w:r>
        <w:rPr>
          <w:rFonts w:hint="eastAsia" w:ascii="仿宋_GB2312" w:eastAsia="仿宋_GB2312"/>
          <w:b w:val="0"/>
          <w:sz w:val="32"/>
          <w:szCs w:val="32"/>
          <w:highlight w:val="none"/>
        </w:rPr>
        <w:t>较上年增加环境保护科学研究院86号</w:t>
      </w:r>
      <w:r>
        <w:rPr>
          <w:rFonts w:hint="eastAsia" w:ascii="仿宋_GB2312" w:eastAsia="仿宋_GB2312"/>
          <w:b w:val="0"/>
          <w:sz w:val="32"/>
          <w:szCs w:val="32"/>
          <w:highlight w:val="none"/>
          <w:lang w:val="en-US" w:eastAsia="zh-CN"/>
        </w:rPr>
        <w:t>项目资金。</w:t>
      </w:r>
    </w:p>
    <w:p w14:paraId="18D83D7A">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4.节能环保支出（类）环境保护管理事务（款）其他环境保护管理事务支出（项）：支出决算数为0.00万元，比上年决算减少151.77万元，下降100.00%，主要原因是：</w:t>
      </w:r>
      <w:r>
        <w:rPr>
          <w:rFonts w:hint="eastAsia" w:ascii="仿宋_GB2312" w:eastAsia="仿宋_GB2312"/>
          <w:b w:val="0"/>
          <w:sz w:val="32"/>
          <w:szCs w:val="32"/>
          <w:highlight w:val="none"/>
        </w:rPr>
        <w:t>较上年减少</w:t>
      </w:r>
      <w:r>
        <w:rPr>
          <w:rFonts w:hint="eastAsia" w:ascii="仿宋_GB2312" w:eastAsia="仿宋_GB2312"/>
          <w:b w:val="0"/>
          <w:color w:val="auto"/>
          <w:sz w:val="32"/>
          <w:szCs w:val="32"/>
          <w:highlight w:val="none"/>
          <w:lang w:val="en-US" w:eastAsia="zh-CN"/>
        </w:rPr>
        <w:t>自治区生态环境能力建设项目。</w:t>
      </w:r>
    </w:p>
    <w:p w14:paraId="298683F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textAlignment w:val="auto"/>
        <w:rPr>
          <w:rFonts w:hint="eastAsia" w:ascii="仿宋_GB2312" w:eastAsia="仿宋_GB2312"/>
          <w:sz w:val="32"/>
          <w:szCs w:val="32"/>
          <w:highlight w:val="none"/>
          <w:lang w:eastAsia="zh-CN"/>
        </w:rPr>
      </w:pPr>
      <w:r>
        <w:rPr>
          <w:rFonts w:ascii="仿宋_GB2312" w:eastAsia="仿宋_GB2312"/>
          <w:b w:val="0"/>
          <w:sz w:val="32"/>
          <w:szCs w:val="32"/>
          <w:highlight w:val="none"/>
        </w:rPr>
        <w:t>5.节能环保支出（类）环境监测与监察（款）其他环境监测与监察支出（项）：支出决算数为115.86万元，比上年决算增加115.86万元，增长100.00%，主要原因是：</w:t>
      </w:r>
      <w:r>
        <w:rPr>
          <w:rFonts w:hint="eastAsia" w:ascii="仿宋_GB2312" w:eastAsia="仿宋_GB2312"/>
          <w:b w:val="0"/>
          <w:sz w:val="32"/>
          <w:szCs w:val="32"/>
          <w:highlight w:val="none"/>
        </w:rPr>
        <w:t>较上年增加生态环境保护评价监测与监管（督）项目</w:t>
      </w:r>
      <w:r>
        <w:rPr>
          <w:rFonts w:hint="eastAsia" w:ascii="仿宋_GB2312" w:eastAsia="仿宋_GB2312"/>
          <w:b w:val="0"/>
          <w:sz w:val="32"/>
          <w:szCs w:val="32"/>
          <w:highlight w:val="none"/>
          <w:lang w:eastAsia="zh-CN"/>
        </w:rPr>
        <w:t>。</w:t>
      </w:r>
    </w:p>
    <w:p w14:paraId="33F8D982">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textAlignment w:val="auto"/>
        <w:rPr>
          <w:rFonts w:hint="eastAsia" w:ascii="仿宋_GB2312" w:eastAsia="仿宋_GB2312"/>
          <w:b w:val="0"/>
          <w:sz w:val="32"/>
          <w:szCs w:val="32"/>
          <w:highlight w:val="none"/>
        </w:rPr>
      </w:pPr>
      <w:r>
        <w:rPr>
          <w:rFonts w:ascii="仿宋_GB2312" w:eastAsia="仿宋_GB2312"/>
          <w:b w:val="0"/>
          <w:sz w:val="32"/>
          <w:szCs w:val="32"/>
          <w:highlight w:val="none"/>
        </w:rPr>
        <w:t>6.节能环保支出（类）污染防治（款）大气（项）：支出决算数为553.52万元，比上年决算增加354.02万元，增长177.45%，主要原因是：</w:t>
      </w:r>
      <w:r>
        <w:rPr>
          <w:rFonts w:hint="eastAsia" w:ascii="仿宋_GB2312" w:eastAsia="仿宋_GB2312"/>
          <w:b w:val="0"/>
          <w:sz w:val="32"/>
          <w:szCs w:val="32"/>
          <w:highlight w:val="none"/>
        </w:rPr>
        <w:t>较上年增加《新疆维吾尔自治区“十五五”大气环境保护规划》项目、新疆天山北坡城市群区域高时空分辨率大气污染源排放清单项目。</w:t>
      </w:r>
    </w:p>
    <w:p w14:paraId="264EEF2A">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textAlignment w:val="auto"/>
      </w:pPr>
      <w:r>
        <w:rPr>
          <w:rFonts w:ascii="仿宋_GB2312" w:eastAsia="仿宋_GB2312"/>
          <w:b w:val="0"/>
          <w:sz w:val="32"/>
          <w:szCs w:val="32"/>
          <w:highlight w:val="none"/>
        </w:rPr>
        <w:t>7.节能环保支出（类）污染防治（款）水体（项）：支出决算数为703.61万元，比上年决算减少108.84万元，下降13.40%，主要原因是：</w:t>
      </w:r>
      <w:r>
        <w:rPr>
          <w:rFonts w:hint="eastAsia" w:ascii="仿宋_GB2312" w:eastAsia="仿宋_GB2312"/>
          <w:b w:val="0"/>
          <w:sz w:val="32"/>
          <w:szCs w:val="32"/>
          <w:highlight w:val="none"/>
        </w:rPr>
        <w:t>较上年减少中央水污染防治</w:t>
      </w:r>
      <w:r>
        <w:rPr>
          <w:rFonts w:hint="eastAsia" w:ascii="仿宋_GB2312" w:eastAsia="仿宋_GB2312"/>
          <w:b w:val="0"/>
          <w:sz w:val="32"/>
          <w:szCs w:val="32"/>
          <w:highlight w:val="none"/>
          <w:lang w:val="en-US" w:eastAsia="zh-CN"/>
        </w:rPr>
        <w:t>专项。</w:t>
      </w:r>
    </w:p>
    <w:p w14:paraId="3E4BF7D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textAlignment w:val="auto"/>
        <w:rPr>
          <w:rFonts w:hint="default" w:ascii="仿宋_GB2312" w:eastAsia="仿宋_GB2312"/>
          <w:b w:val="0"/>
          <w:color w:val="auto"/>
          <w:sz w:val="32"/>
          <w:szCs w:val="32"/>
          <w:highlight w:val="none"/>
          <w:lang w:val="en-US" w:eastAsia="zh-CN"/>
        </w:rPr>
      </w:pPr>
      <w:r>
        <w:rPr>
          <w:rFonts w:ascii="仿宋_GB2312" w:eastAsia="仿宋_GB2312"/>
          <w:b w:val="0"/>
          <w:sz w:val="32"/>
          <w:szCs w:val="32"/>
          <w:highlight w:val="none"/>
        </w:rPr>
        <w:t>8.节能环保支出（类）污染防治（款）土壤（项）：支出决算数为304.10万元，比上年决算增加153.95万元，增长102.53%，主要原因是：</w:t>
      </w:r>
      <w:r>
        <w:rPr>
          <w:rFonts w:hint="eastAsia" w:ascii="仿宋_GB2312" w:eastAsia="仿宋_GB2312"/>
          <w:b w:val="0"/>
          <w:sz w:val="32"/>
          <w:szCs w:val="32"/>
          <w:highlight w:val="none"/>
        </w:rPr>
        <w:t>较上年增加自治区2025年重点监管单位土壤污染隐患排查“回头看”项目和新疆目标尾矿库分类分级环境监管动态调整项目</w:t>
      </w:r>
      <w:r>
        <w:rPr>
          <w:rFonts w:hint="eastAsia" w:ascii="仿宋_GB2312" w:eastAsia="仿宋_GB2312"/>
          <w:b w:val="0"/>
          <w:color w:val="auto"/>
          <w:sz w:val="32"/>
          <w:szCs w:val="32"/>
          <w:highlight w:val="none"/>
          <w:lang w:val="en-US" w:eastAsia="zh-CN"/>
        </w:rPr>
        <w:t>。</w:t>
      </w:r>
    </w:p>
    <w:p w14:paraId="158FBD8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textAlignment w:val="auto"/>
        <w:rPr>
          <w:rFonts w:hint="default" w:ascii="仿宋_GB2312" w:eastAsia="仿宋_GB2312"/>
          <w:sz w:val="32"/>
          <w:szCs w:val="32"/>
          <w:highlight w:val="none"/>
          <w:lang w:val="en-US" w:eastAsia="zh-CN"/>
        </w:rPr>
      </w:pPr>
      <w:r>
        <w:rPr>
          <w:rFonts w:ascii="仿宋_GB2312" w:eastAsia="仿宋_GB2312"/>
          <w:b w:val="0"/>
          <w:sz w:val="32"/>
          <w:szCs w:val="32"/>
          <w:highlight w:val="none"/>
        </w:rPr>
        <w:t>9.节能环保支出（类）自然生态保护（款）生态保护（项）：支出决算数为99.00万元，比上年决算增加99.00万元，增长100.00%，主要原因是：</w:t>
      </w:r>
      <w:r>
        <w:rPr>
          <w:rFonts w:hint="eastAsia" w:ascii="仿宋_GB2312" w:eastAsia="仿宋_GB2312"/>
          <w:b w:val="0"/>
          <w:sz w:val="32"/>
          <w:szCs w:val="32"/>
          <w:highlight w:val="none"/>
        </w:rPr>
        <w:t>较上年增加自治区生态保护监督管理项目</w:t>
      </w:r>
      <w:r>
        <w:rPr>
          <w:rFonts w:hint="eastAsia" w:ascii="仿宋_GB2312" w:eastAsia="仿宋_GB2312"/>
          <w:b w:val="0"/>
          <w:sz w:val="32"/>
          <w:szCs w:val="32"/>
          <w:highlight w:val="none"/>
          <w:lang w:eastAsia="zh-CN"/>
        </w:rPr>
        <w:t>。</w:t>
      </w:r>
    </w:p>
    <w:p w14:paraId="5D29A4D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10.节能环保支出（类）自然生态保护（款）农村环境保护（项）：支出决算数为0.00万元，比上年决算减少110.16万元，下降100.00%，主要原因是：</w:t>
      </w:r>
      <w:r>
        <w:rPr>
          <w:rFonts w:hint="eastAsia" w:ascii="仿宋_GB2312" w:eastAsia="仿宋_GB2312"/>
          <w:b w:val="0"/>
          <w:sz w:val="32"/>
          <w:szCs w:val="32"/>
          <w:highlight w:val="none"/>
        </w:rPr>
        <w:t>较上年减少自治区农村环境保护专项资金</w:t>
      </w:r>
      <w:r>
        <w:rPr>
          <w:rFonts w:hint="eastAsia" w:ascii="仿宋_GB2312" w:eastAsia="仿宋_GB2312"/>
          <w:b w:val="0"/>
          <w:color w:val="auto"/>
          <w:sz w:val="32"/>
          <w:szCs w:val="32"/>
          <w:highlight w:val="none"/>
          <w:lang w:val="en-US" w:eastAsia="zh-CN"/>
        </w:rPr>
        <w:t>。</w:t>
      </w:r>
    </w:p>
    <w:p w14:paraId="6A704D3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textAlignment w:val="auto"/>
        <w:rPr>
          <w:rFonts w:hint="default" w:ascii="仿宋_GB2312" w:eastAsia="仿宋_GB2312"/>
          <w:sz w:val="32"/>
          <w:szCs w:val="32"/>
          <w:highlight w:val="none"/>
          <w:lang w:val="en-US"/>
        </w:rPr>
      </w:pPr>
      <w:r>
        <w:rPr>
          <w:rFonts w:ascii="仿宋_GB2312" w:eastAsia="仿宋_GB2312"/>
          <w:b w:val="0"/>
          <w:sz w:val="32"/>
          <w:szCs w:val="32"/>
          <w:highlight w:val="none"/>
        </w:rPr>
        <w:t>11.节能环保支出（类）污染减排（款）减排专项支出（项）：支出决算数为408.40万元，比上年决算减少403.53万元，下降49.70%，主要原因是：</w:t>
      </w:r>
      <w:r>
        <w:rPr>
          <w:rFonts w:hint="eastAsia" w:ascii="仿宋_GB2312" w:eastAsia="仿宋_GB2312"/>
          <w:b w:val="0"/>
          <w:sz w:val="32"/>
          <w:szCs w:val="32"/>
          <w:highlight w:val="none"/>
        </w:rPr>
        <w:t>较上年减少自治区节能减排专项资金</w:t>
      </w:r>
      <w:r>
        <w:rPr>
          <w:rFonts w:hint="eastAsia" w:ascii="仿宋_GB2312" w:eastAsia="仿宋_GB2312"/>
          <w:b w:val="0"/>
          <w:color w:val="auto"/>
          <w:sz w:val="32"/>
          <w:szCs w:val="32"/>
          <w:highlight w:val="none"/>
          <w:lang w:val="en-US" w:eastAsia="zh-CN"/>
        </w:rPr>
        <w:t>。</w:t>
      </w:r>
    </w:p>
    <w:p w14:paraId="5B42E0C8">
      <w:pPr>
        <w:widowControl w:val="0"/>
        <w:spacing w:after="0" w:line="600" w:lineRule="exact"/>
        <w:ind w:firstLine="640" w:firstLineChars="200"/>
        <w:jc w:val="both"/>
        <w:outlineLvl w:val="1"/>
        <w:rPr>
          <w:rFonts w:hint="eastAsia" w:ascii="黑体" w:hAnsi="黑体" w:eastAsia="黑体" w:cs="宋体"/>
          <w:bCs/>
          <w:kern w:val="0"/>
          <w:sz w:val="32"/>
          <w:szCs w:val="32"/>
          <w:lang w:eastAsia="zh-CN"/>
        </w:rPr>
      </w:pPr>
      <w:r>
        <w:rPr>
          <w:rFonts w:hint="eastAsia" w:ascii="黑体" w:hAnsi="黑体" w:eastAsia="黑体" w:cs="宋体"/>
          <w:bCs/>
          <w:kern w:val="0"/>
          <w:sz w:val="32"/>
          <w:szCs w:val="32"/>
          <w:lang w:eastAsia="zh-CN"/>
        </w:rPr>
        <w:t>六、一般公共预算财政拨款基本支出决算情况说明</w:t>
      </w:r>
    </w:p>
    <w:p w14:paraId="312B5C18">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2025年度一般公共预算财政拨款基本支出1,424.92万元，其中：</w:t>
      </w:r>
      <w:r>
        <w:rPr>
          <w:rFonts w:hint="eastAsia" w:ascii="仿宋_GB2312" w:hAnsi="Times New Roman" w:eastAsia="仿宋_GB2312" w:cs="Times New Roman"/>
          <w:b/>
          <w:bCs/>
          <w:kern w:val="2"/>
          <w:sz w:val="32"/>
          <w:szCs w:val="32"/>
          <w:highlight w:val="none"/>
          <w:lang w:eastAsia="zh-CN"/>
        </w:rPr>
        <w:t>人员经费1,330.96万元，</w:t>
      </w:r>
      <w:r>
        <w:rPr>
          <w:rFonts w:ascii="仿宋_GB2312" w:eastAsia="仿宋_GB2312"/>
          <w:b w:val="0"/>
          <w:sz w:val="32"/>
          <w:szCs w:val="32"/>
          <w:highlight w:val="none"/>
        </w:rPr>
        <w:t>包括：基本工资、津贴补贴、奖金、绩效工资、机关事业单位基本养老保险缴费、职业年金缴费、职工基本医疗保险缴费、公务员医疗补助缴费、其他社会保障缴费、住房公积金、退休费、抚恤金和其他对个人和家庭的补助。</w:t>
      </w:r>
    </w:p>
    <w:p w14:paraId="7493644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both"/>
        <w:textAlignment w:val="auto"/>
        <w:rPr>
          <w:rFonts w:ascii="仿宋_GB2312" w:eastAsia="仿宋_GB2312"/>
          <w:sz w:val="32"/>
          <w:szCs w:val="32"/>
          <w:highlight w:val="none"/>
        </w:rPr>
      </w:pPr>
      <w:r>
        <w:rPr>
          <w:rFonts w:hint="eastAsia" w:ascii="仿宋_GB2312" w:hAnsi="Times New Roman" w:eastAsia="仿宋_GB2312" w:cs="Times New Roman"/>
          <w:b/>
          <w:bCs/>
          <w:kern w:val="2"/>
          <w:sz w:val="32"/>
          <w:szCs w:val="32"/>
          <w:highlight w:val="none"/>
          <w:lang w:eastAsia="zh-CN"/>
        </w:rPr>
        <w:t>公用经费93.96万元，</w:t>
      </w:r>
      <w:r>
        <w:rPr>
          <w:rFonts w:ascii="仿宋_GB2312" w:eastAsia="仿宋_GB2312"/>
          <w:b w:val="0"/>
          <w:sz w:val="32"/>
          <w:szCs w:val="32"/>
          <w:highlight w:val="none"/>
        </w:rPr>
        <w:t>包括：办公费、水费、电费、邮电费、取暖费、物业管理费、差旅费、工会经费、福利费和公务用车运行维护费。</w:t>
      </w:r>
    </w:p>
    <w:p w14:paraId="7CE47139">
      <w:pPr>
        <w:widowControl w:val="0"/>
        <w:spacing w:after="0" w:line="600" w:lineRule="exact"/>
        <w:ind w:firstLine="640" w:firstLineChars="200"/>
        <w:jc w:val="both"/>
        <w:outlineLvl w:val="1"/>
        <w:rPr>
          <w:rFonts w:hint="eastAsia" w:ascii="黑体" w:hAnsi="黑体" w:eastAsia="黑体" w:cs="宋体"/>
          <w:bCs/>
          <w:kern w:val="0"/>
          <w:sz w:val="32"/>
          <w:szCs w:val="32"/>
          <w:lang w:eastAsia="zh-CN"/>
        </w:rPr>
      </w:pPr>
      <w:r>
        <w:rPr>
          <w:rFonts w:hint="eastAsia" w:ascii="黑体" w:hAnsi="黑体" w:eastAsia="黑体" w:cs="宋体"/>
          <w:bCs/>
          <w:kern w:val="0"/>
          <w:sz w:val="32"/>
          <w:szCs w:val="32"/>
          <w:lang w:eastAsia="zh-CN"/>
        </w:rPr>
        <w:t>七、政府性基金预算财政拨款收入支出决算情况说明</w:t>
      </w:r>
    </w:p>
    <w:p w14:paraId="7EABAA7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本单位本年度无政府性基金预算财政拨款收入、支出及结转和结余，政府性基金预算财政拨款收入支出决算表为空表。</w:t>
      </w:r>
    </w:p>
    <w:p w14:paraId="234C27E6">
      <w:pPr>
        <w:widowControl w:val="0"/>
        <w:spacing w:after="0" w:line="600" w:lineRule="exact"/>
        <w:ind w:firstLine="640" w:firstLineChars="200"/>
        <w:jc w:val="both"/>
        <w:outlineLvl w:val="1"/>
        <w:rPr>
          <w:rFonts w:hint="eastAsia" w:ascii="黑体" w:hAnsi="黑体" w:eastAsia="黑体" w:cs="宋体"/>
          <w:bCs/>
          <w:kern w:val="0"/>
          <w:sz w:val="32"/>
          <w:szCs w:val="32"/>
          <w:lang w:eastAsia="zh-CN"/>
        </w:rPr>
      </w:pPr>
      <w:r>
        <w:rPr>
          <w:rFonts w:hint="eastAsia" w:ascii="黑体" w:hAnsi="黑体" w:eastAsia="黑体" w:cs="宋体"/>
          <w:bCs/>
          <w:kern w:val="0"/>
          <w:sz w:val="32"/>
          <w:szCs w:val="32"/>
          <w:lang w:eastAsia="zh-CN"/>
        </w:rPr>
        <w:t>八、国有资本经营预算财政拨款收入支出决算情况说明</w:t>
      </w:r>
    </w:p>
    <w:p w14:paraId="732D85A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本单位本年度无国有资本经营预算财政拨款收入、支出及结转和结余，国有资本经营预算财政拨款收入支出决算表为空表。</w:t>
      </w:r>
    </w:p>
    <w:p w14:paraId="3643C661">
      <w:pPr>
        <w:widowControl w:val="0"/>
        <w:spacing w:after="0" w:line="600" w:lineRule="exact"/>
        <w:ind w:firstLine="640" w:firstLineChars="200"/>
        <w:jc w:val="both"/>
        <w:outlineLvl w:val="1"/>
        <w:rPr>
          <w:rFonts w:hint="eastAsia" w:ascii="黑体" w:hAnsi="黑体" w:eastAsia="黑体" w:cs="宋体"/>
          <w:bCs/>
          <w:kern w:val="0"/>
          <w:sz w:val="32"/>
          <w:szCs w:val="32"/>
          <w:lang w:eastAsia="zh-CN"/>
        </w:rPr>
      </w:pPr>
      <w:r>
        <w:rPr>
          <w:rFonts w:hint="eastAsia" w:ascii="黑体" w:hAnsi="黑体" w:eastAsia="黑体" w:cs="宋体"/>
          <w:bCs/>
          <w:kern w:val="0"/>
          <w:sz w:val="32"/>
          <w:szCs w:val="32"/>
          <w:lang w:eastAsia="zh-CN"/>
        </w:rPr>
        <w:t>九、财政拨款“三公”经费支出决算情况说明</w:t>
      </w:r>
    </w:p>
    <w:p w14:paraId="2B0560E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both"/>
        <w:textAlignment w:val="auto"/>
        <w:rPr>
          <w:rFonts w:ascii="仿宋_GB2312" w:eastAsia="仿宋_GB2312"/>
          <w:sz w:val="32"/>
          <w:szCs w:val="32"/>
          <w:highlight w:val="none"/>
        </w:rPr>
      </w:pPr>
      <w:r>
        <w:rPr>
          <w:rFonts w:hint="eastAsia" w:ascii="仿宋_GB2312" w:hAnsi="Times New Roman" w:eastAsia="仿宋_GB2312" w:cs="Times New Roman"/>
          <w:b/>
          <w:bCs/>
          <w:spacing w:val="0"/>
          <w:kern w:val="2"/>
          <w:sz w:val="32"/>
          <w:szCs w:val="32"/>
          <w:highlight w:val="none"/>
          <w:lang w:eastAsia="zh-CN"/>
        </w:rPr>
        <w:t>2025年度财政拨款“三公”经费支出5.72万元，</w:t>
      </w:r>
      <w:r>
        <w:rPr>
          <w:rFonts w:ascii="仿宋_GB2312" w:eastAsia="仿宋_GB2312"/>
          <w:b w:val="0"/>
          <w:sz w:val="32"/>
          <w:szCs w:val="32"/>
          <w:highlight w:val="none"/>
        </w:rPr>
        <w:t>与上年相比无变化，主要原因是：</w:t>
      </w:r>
      <w:r>
        <w:rPr>
          <w:rFonts w:hint="eastAsia" w:ascii="仿宋_GB2312" w:eastAsia="仿宋_GB2312"/>
          <w:b w:val="0"/>
          <w:sz w:val="32"/>
          <w:szCs w:val="32"/>
          <w:highlight w:val="none"/>
          <w:lang w:eastAsia="zh-CN"/>
        </w:rPr>
        <w:t>本单位</w:t>
      </w:r>
      <w:bookmarkStart w:id="0" w:name="_GoBack"/>
      <w:bookmarkEnd w:id="0"/>
      <w:r>
        <w:rPr>
          <w:rFonts w:hint="eastAsia" w:ascii="仿宋_GB2312" w:eastAsia="仿宋_GB2312"/>
          <w:b w:val="0"/>
          <w:sz w:val="32"/>
          <w:szCs w:val="32"/>
          <w:highlight w:val="none"/>
        </w:rPr>
        <w:t>“三公”经费与上年一致无变化</w:t>
      </w:r>
      <w:r>
        <w:rPr>
          <w:rFonts w:ascii="仿宋_GB2312" w:eastAsia="仿宋_GB2312"/>
          <w:b w:val="0"/>
          <w:sz w:val="32"/>
          <w:szCs w:val="32"/>
          <w:highlight w:val="none"/>
        </w:rPr>
        <w:t>。其中：因公出国（境）费用支出0.00万元,占0.00%，与上年相比无变化，主要原因是：</w:t>
      </w:r>
      <w:r>
        <w:rPr>
          <w:rFonts w:hint="eastAsia" w:ascii="仿宋_GB2312" w:eastAsia="仿宋_GB2312"/>
          <w:b w:val="0"/>
          <w:sz w:val="32"/>
          <w:szCs w:val="32"/>
          <w:highlight w:val="none"/>
        </w:rPr>
        <w:t>2024年与2025年均无因公出国（境）费用支出</w:t>
      </w:r>
      <w:r>
        <w:rPr>
          <w:rFonts w:ascii="仿宋_GB2312" w:eastAsia="仿宋_GB2312"/>
          <w:b w:val="0"/>
          <w:sz w:val="32"/>
          <w:szCs w:val="32"/>
          <w:highlight w:val="none"/>
        </w:rPr>
        <w:t>；公务用车购置及运行维护费支出5.72万元，占100.00%，与上年相比无变化，主要原因是：</w:t>
      </w:r>
      <w:r>
        <w:rPr>
          <w:rFonts w:hint="eastAsia" w:ascii="仿宋_GB2312" w:eastAsia="仿宋_GB2312"/>
          <w:b w:val="0"/>
          <w:sz w:val="32"/>
          <w:szCs w:val="32"/>
          <w:highlight w:val="none"/>
          <w:lang w:eastAsia="zh-CN"/>
        </w:rPr>
        <w:t>本单位</w:t>
      </w:r>
      <w:r>
        <w:rPr>
          <w:rFonts w:hint="eastAsia" w:ascii="仿宋_GB2312" w:eastAsia="仿宋_GB2312"/>
          <w:b w:val="0"/>
          <w:sz w:val="32"/>
          <w:szCs w:val="32"/>
          <w:highlight w:val="none"/>
        </w:rPr>
        <w:t>公务用车购置及运行维护费与上年一致无变化</w:t>
      </w:r>
      <w:r>
        <w:rPr>
          <w:rFonts w:ascii="仿宋_GB2312" w:eastAsia="仿宋_GB2312"/>
          <w:b w:val="0"/>
          <w:sz w:val="32"/>
          <w:szCs w:val="32"/>
          <w:highlight w:val="none"/>
        </w:rPr>
        <w:t>；公务接待费支出0.00万元，占0.00%，与上年相比无变化，主要原因是：</w:t>
      </w:r>
      <w:r>
        <w:rPr>
          <w:rFonts w:hint="eastAsia" w:ascii="仿宋_GB2312" w:eastAsia="仿宋_GB2312"/>
          <w:b w:val="0"/>
          <w:sz w:val="32"/>
          <w:szCs w:val="32"/>
          <w:highlight w:val="none"/>
        </w:rPr>
        <w:t>2024年与2025年均无公务接待费支出</w:t>
      </w:r>
      <w:r>
        <w:rPr>
          <w:rFonts w:ascii="仿宋_GB2312" w:eastAsia="仿宋_GB2312"/>
          <w:b w:val="0"/>
          <w:sz w:val="32"/>
          <w:szCs w:val="32"/>
          <w:highlight w:val="none"/>
        </w:rPr>
        <w:t>。</w:t>
      </w:r>
    </w:p>
    <w:p w14:paraId="3894017D">
      <w:pPr>
        <w:keepNext w:val="0"/>
        <w:keepLines w:val="0"/>
        <w:pageBreakBefore w:val="0"/>
        <w:widowControl w:val="0"/>
        <w:kinsoku/>
        <w:wordWrap/>
        <w:overflowPunct/>
        <w:topLinePunct w:val="0"/>
        <w:autoSpaceDE/>
        <w:autoSpaceDN/>
        <w:bidi w:val="0"/>
        <w:adjustRightInd/>
        <w:snapToGrid/>
        <w:spacing w:after="0" w:line="240" w:lineRule="auto"/>
        <w:ind w:firstLine="643" w:firstLineChars="200"/>
        <w:jc w:val="both"/>
        <w:textAlignment w:val="auto"/>
        <w:rPr>
          <w:rFonts w:hint="eastAsia" w:ascii="仿宋_GB2312" w:hAnsi="Times New Roman" w:eastAsia="仿宋_GB2312" w:cs="Times New Roman"/>
          <w:b/>
          <w:bCs/>
          <w:kern w:val="2"/>
          <w:sz w:val="32"/>
          <w:szCs w:val="32"/>
          <w:highlight w:val="none"/>
          <w:lang w:eastAsia="zh-CN"/>
        </w:rPr>
      </w:pPr>
      <w:r>
        <w:rPr>
          <w:rFonts w:hint="eastAsia" w:ascii="仿宋_GB2312" w:hAnsi="Times New Roman" w:eastAsia="仿宋_GB2312" w:cs="Times New Roman"/>
          <w:b/>
          <w:bCs/>
          <w:kern w:val="2"/>
          <w:sz w:val="32"/>
          <w:szCs w:val="32"/>
          <w:highlight w:val="none"/>
          <w:lang w:eastAsia="zh-CN"/>
        </w:rPr>
        <w:t>具体情况如下：</w:t>
      </w:r>
    </w:p>
    <w:p w14:paraId="7D3E69A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因公出国（境）费用0.00万元，开支内容包括单位无因公出国（境）费。单位全年安排的因公出国（境）团组0个，因公出国（境）0人次。</w:t>
      </w:r>
    </w:p>
    <w:p w14:paraId="1F4BA83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公务用车购置及运行维护费5.72万元，其中：公务用车购置费0.00万元，公务用车运行维护费5.72万元。公务用车运行维护费开支内容包括车辆保险、车辆维修维护费。公务用车购置数0辆，公务用车保有量6辆。国有资产占用情况中固定资产车辆7辆，与公务用车保有量差异原因是：</w:t>
      </w:r>
      <w:r>
        <w:rPr>
          <w:rFonts w:hint="eastAsia" w:ascii="仿宋_GB2312" w:eastAsia="仿宋_GB2312"/>
          <w:b w:val="0"/>
          <w:sz w:val="32"/>
          <w:szCs w:val="32"/>
          <w:highlight w:val="none"/>
        </w:rPr>
        <w:t>差异车辆为单位业务用车，预算未安排公务用车运行维护费</w:t>
      </w:r>
      <w:r>
        <w:rPr>
          <w:rFonts w:ascii="仿宋_GB2312" w:eastAsia="仿宋_GB2312"/>
          <w:b w:val="0"/>
          <w:sz w:val="32"/>
          <w:szCs w:val="32"/>
          <w:highlight w:val="none"/>
        </w:rPr>
        <w:t>。</w:t>
      </w:r>
    </w:p>
    <w:p w14:paraId="4CC0043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公务接待费0.00万元，开支内容包括单位无公务接待费。单位全年安排的国内公务接待0批次，0人次。</w:t>
      </w:r>
    </w:p>
    <w:p w14:paraId="6D23E91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both"/>
        <w:textAlignment w:val="auto"/>
        <w:rPr>
          <w:rFonts w:ascii="仿宋_GB2312" w:eastAsia="仿宋_GB2312"/>
          <w:sz w:val="32"/>
          <w:szCs w:val="32"/>
          <w:highlight w:val="none"/>
        </w:rPr>
      </w:pPr>
      <w:r>
        <w:rPr>
          <w:rFonts w:hint="eastAsia" w:ascii="仿宋_GB2312" w:hAnsi="Times New Roman" w:eastAsia="仿宋_GB2312" w:cs="Times New Roman"/>
          <w:b/>
          <w:bCs/>
          <w:spacing w:val="0"/>
          <w:kern w:val="2"/>
          <w:sz w:val="32"/>
          <w:szCs w:val="32"/>
          <w:highlight w:val="none"/>
          <w:lang w:eastAsia="zh-CN"/>
        </w:rPr>
        <w:t>与全年预算相比，</w:t>
      </w:r>
      <w:r>
        <w:rPr>
          <w:rFonts w:ascii="仿宋_GB2312" w:eastAsia="仿宋_GB2312"/>
          <w:b w:val="0"/>
          <w:sz w:val="32"/>
          <w:szCs w:val="32"/>
          <w:highlight w:val="none"/>
        </w:rPr>
        <w:t>财政拨款“三公”经费支出全年预算数5.72万元，决算数5.72万元，预决算差异率0.00%，主要原因是：</w:t>
      </w:r>
      <w:r>
        <w:rPr>
          <w:rFonts w:hint="eastAsia" w:ascii="仿宋_GB2312" w:eastAsia="仿宋_GB2312"/>
          <w:b w:val="0"/>
          <w:sz w:val="32"/>
          <w:szCs w:val="32"/>
          <w:highlight w:val="none"/>
        </w:rPr>
        <w:t>严格按照预算执行，预决算无差异</w:t>
      </w:r>
      <w:r>
        <w:rPr>
          <w:rFonts w:ascii="仿宋_GB2312" w:eastAsia="仿宋_GB2312"/>
          <w:b w:val="0"/>
          <w:sz w:val="32"/>
          <w:szCs w:val="32"/>
          <w:highlight w:val="none"/>
        </w:rPr>
        <w:t>。其中：因公出国（境）费用全年预算数0.00万元，决算数0.00万元，预决算差异率0.00%，主要原因是：</w:t>
      </w:r>
      <w:r>
        <w:rPr>
          <w:rFonts w:hint="eastAsia" w:ascii="仿宋_GB2312" w:eastAsia="仿宋_GB2312"/>
          <w:b w:val="0"/>
          <w:sz w:val="32"/>
          <w:szCs w:val="32"/>
          <w:highlight w:val="none"/>
          <w:lang w:val="en-US" w:eastAsia="zh-CN"/>
        </w:rPr>
        <w:t>本单位无</w:t>
      </w:r>
      <w:r>
        <w:rPr>
          <w:rFonts w:ascii="仿宋_GB2312" w:eastAsia="仿宋_GB2312"/>
          <w:b w:val="0"/>
          <w:sz w:val="32"/>
          <w:szCs w:val="32"/>
          <w:highlight w:val="none"/>
        </w:rPr>
        <w:t>因公出国（境）费用；公务用车购置费全年预算数0.00万元，决算数0.00万元，预决算差异率0.00%，主要原因是：</w:t>
      </w:r>
      <w:r>
        <w:rPr>
          <w:rFonts w:hint="eastAsia" w:ascii="仿宋_GB2312" w:eastAsia="仿宋_GB2312"/>
          <w:b w:val="0"/>
          <w:sz w:val="32"/>
          <w:szCs w:val="32"/>
          <w:highlight w:val="none"/>
          <w:lang w:val="en-US" w:eastAsia="zh-CN"/>
        </w:rPr>
        <w:t>本单位无</w:t>
      </w:r>
      <w:r>
        <w:rPr>
          <w:rFonts w:ascii="仿宋_GB2312" w:eastAsia="仿宋_GB2312"/>
          <w:b w:val="0"/>
          <w:sz w:val="32"/>
          <w:szCs w:val="32"/>
          <w:highlight w:val="none"/>
        </w:rPr>
        <w:t>因公出国（境）费用；公务用车运行维护费全年预算数5.72万元，决算数5.72万元，预决算差异率0.00%，主要原因是：</w:t>
      </w:r>
      <w:r>
        <w:rPr>
          <w:rFonts w:hint="eastAsia" w:ascii="仿宋_GB2312" w:eastAsia="仿宋_GB2312"/>
          <w:b w:val="0"/>
          <w:sz w:val="32"/>
          <w:szCs w:val="32"/>
          <w:highlight w:val="none"/>
        </w:rPr>
        <w:t>严格按照预算执行，预决算无差异</w:t>
      </w:r>
      <w:r>
        <w:rPr>
          <w:rFonts w:ascii="仿宋_GB2312" w:eastAsia="仿宋_GB2312"/>
          <w:b w:val="0"/>
          <w:sz w:val="32"/>
          <w:szCs w:val="32"/>
          <w:highlight w:val="none"/>
        </w:rPr>
        <w:t>；公务接待费全年预算数0.00万元，决算数0.00万元，预决算差异率0.00%，主要原因是：</w:t>
      </w:r>
      <w:r>
        <w:rPr>
          <w:rFonts w:hint="eastAsia" w:ascii="仿宋_GB2312" w:eastAsia="仿宋_GB2312"/>
          <w:b w:val="0"/>
          <w:sz w:val="32"/>
          <w:szCs w:val="32"/>
          <w:highlight w:val="none"/>
          <w:lang w:val="en-US" w:eastAsia="zh-CN"/>
        </w:rPr>
        <w:t>本单位无公务接待费</w:t>
      </w:r>
      <w:r>
        <w:rPr>
          <w:rFonts w:ascii="仿宋_GB2312" w:eastAsia="仿宋_GB2312"/>
          <w:b w:val="0"/>
          <w:sz w:val="32"/>
          <w:szCs w:val="32"/>
          <w:highlight w:val="none"/>
        </w:rPr>
        <w:t>。</w:t>
      </w:r>
    </w:p>
    <w:p w14:paraId="5EE73452">
      <w:pPr>
        <w:widowControl w:val="0"/>
        <w:spacing w:after="0" w:line="600" w:lineRule="exact"/>
        <w:ind w:firstLine="640" w:firstLineChars="200"/>
        <w:jc w:val="both"/>
        <w:outlineLvl w:val="1"/>
        <w:rPr>
          <w:rFonts w:hint="eastAsia" w:ascii="黑体" w:hAnsi="黑体" w:eastAsia="黑体" w:cs="宋体"/>
          <w:bCs/>
          <w:kern w:val="0"/>
          <w:sz w:val="32"/>
          <w:szCs w:val="32"/>
          <w:lang w:eastAsia="zh-CN"/>
        </w:rPr>
      </w:pPr>
      <w:r>
        <w:rPr>
          <w:rFonts w:hint="eastAsia" w:ascii="黑体" w:hAnsi="黑体" w:eastAsia="黑体" w:cs="宋体"/>
          <w:bCs/>
          <w:kern w:val="0"/>
          <w:sz w:val="32"/>
          <w:szCs w:val="32"/>
          <w:lang w:eastAsia="zh-CN"/>
        </w:rPr>
        <w:t>十、其他重要事项的情况说明</w:t>
      </w:r>
    </w:p>
    <w:p w14:paraId="761E7BD9">
      <w:pPr>
        <w:widowControl w:val="0"/>
        <w:spacing w:after="0" w:line="600" w:lineRule="exact"/>
        <w:ind w:firstLine="643" w:firstLineChars="200"/>
        <w:jc w:val="both"/>
        <w:outlineLvl w:val="2"/>
        <w:rPr>
          <w:rFonts w:hint="eastAsia" w:ascii="楷体_GB2312" w:hAnsi="楷体_GB2312" w:eastAsia="楷体_GB2312" w:cs="楷体_GB2312"/>
          <w:b/>
          <w:bCs/>
          <w:kern w:val="2"/>
          <w:sz w:val="32"/>
          <w:szCs w:val="32"/>
          <w:lang w:eastAsia="zh-CN"/>
        </w:rPr>
      </w:pPr>
      <w:r>
        <w:rPr>
          <w:rFonts w:hint="eastAsia" w:ascii="楷体_GB2312" w:hAnsi="楷体_GB2312" w:eastAsia="楷体_GB2312" w:cs="楷体_GB2312"/>
          <w:b/>
          <w:bCs/>
          <w:kern w:val="2"/>
          <w:sz w:val="32"/>
          <w:szCs w:val="32"/>
          <w:lang w:eastAsia="zh-CN"/>
        </w:rPr>
        <w:t>（一）机关运行经费及公用经费支出情况</w:t>
      </w:r>
    </w:p>
    <w:p w14:paraId="2ED9930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2025年度新疆维吾尔自治区环境保护科学研究院（事业单位）公用经费支出93.96万元，比上年增加5.84万元，增长6.63%，主要原因是：</w:t>
      </w:r>
      <w:r>
        <w:rPr>
          <w:rFonts w:hint="eastAsia" w:ascii="仿宋_GB2312" w:eastAsia="仿宋_GB2312"/>
          <w:b w:val="0"/>
          <w:sz w:val="32"/>
          <w:szCs w:val="32"/>
          <w:highlight w:val="none"/>
          <w:lang w:val="en-US" w:eastAsia="zh-CN"/>
        </w:rPr>
        <w:t>本年追加结对认亲交通费，公用经费增加</w:t>
      </w:r>
      <w:r>
        <w:rPr>
          <w:rFonts w:ascii="仿宋_GB2312" w:eastAsia="仿宋_GB2312"/>
          <w:b w:val="0"/>
          <w:sz w:val="32"/>
          <w:szCs w:val="32"/>
          <w:highlight w:val="none"/>
        </w:rPr>
        <w:t>。</w:t>
      </w:r>
    </w:p>
    <w:p w14:paraId="1264E2F1">
      <w:pPr>
        <w:widowControl w:val="0"/>
        <w:spacing w:after="0" w:line="600" w:lineRule="exact"/>
        <w:ind w:firstLine="643" w:firstLineChars="200"/>
        <w:jc w:val="both"/>
        <w:outlineLvl w:val="2"/>
        <w:rPr>
          <w:rFonts w:hint="eastAsia" w:ascii="楷体_GB2312" w:hAnsi="楷体_GB2312" w:eastAsia="楷体_GB2312" w:cs="楷体_GB2312"/>
          <w:b/>
          <w:bCs/>
          <w:kern w:val="2"/>
          <w:sz w:val="32"/>
          <w:szCs w:val="32"/>
          <w:lang w:eastAsia="zh-CN"/>
        </w:rPr>
      </w:pPr>
      <w:r>
        <w:rPr>
          <w:rFonts w:hint="eastAsia" w:ascii="楷体_GB2312" w:hAnsi="楷体_GB2312" w:eastAsia="楷体_GB2312" w:cs="楷体_GB2312"/>
          <w:b/>
          <w:bCs/>
          <w:kern w:val="2"/>
          <w:sz w:val="32"/>
          <w:szCs w:val="32"/>
          <w:lang w:eastAsia="zh-CN"/>
        </w:rPr>
        <w:t>（二）政府采购情况</w:t>
      </w:r>
    </w:p>
    <w:p w14:paraId="47A7246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2025年度政府采购支出总额1,106.75万元，其中：政府采购货物支出52.67万元、政府采购工程支出2.52万元、政府采购服务支出1,051.56万元。</w:t>
      </w:r>
    </w:p>
    <w:p w14:paraId="6A7F817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授予中小企业合同金额867.29万元，占政府采购支出总额的78.36%，其中：授予小微企业合同金额545.28万元，占政府采购支出总额的49.27%。</w:t>
      </w:r>
    </w:p>
    <w:p w14:paraId="7296A52A">
      <w:pPr>
        <w:widowControl w:val="0"/>
        <w:spacing w:after="0" w:line="600" w:lineRule="exact"/>
        <w:ind w:firstLine="643" w:firstLineChars="200"/>
        <w:jc w:val="both"/>
        <w:outlineLvl w:val="2"/>
        <w:rPr>
          <w:rFonts w:hint="eastAsia" w:ascii="楷体_GB2312" w:hAnsi="楷体_GB2312" w:eastAsia="楷体_GB2312" w:cs="楷体_GB2312"/>
          <w:b/>
          <w:bCs/>
          <w:kern w:val="2"/>
          <w:sz w:val="32"/>
          <w:szCs w:val="32"/>
          <w:lang w:eastAsia="zh-CN"/>
        </w:rPr>
      </w:pPr>
      <w:r>
        <w:rPr>
          <w:rFonts w:hint="eastAsia" w:ascii="楷体_GB2312" w:hAnsi="楷体_GB2312" w:eastAsia="楷体_GB2312" w:cs="楷体_GB2312"/>
          <w:b/>
          <w:bCs/>
          <w:kern w:val="2"/>
          <w:sz w:val="32"/>
          <w:szCs w:val="32"/>
          <w:lang w:eastAsia="zh-CN"/>
        </w:rPr>
        <w:t>（三）国有资产占用情况说明</w:t>
      </w:r>
    </w:p>
    <w:p w14:paraId="139EE09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截至2025年12月31日，房屋5,663.00平方米，价值486.20万元。车辆7辆，价值255.08万元，其中：副部（省）级及以上领导用车0辆、主要负责人用车0辆、机要通信用车0辆、应急保障用车0辆、执法执勤用车0辆、特种专业技术用车2辆、离退休干部服务用车0辆、其他用车5辆，其他用车主要是：单位业务用车;单价100万元（含）以上设备（不含车辆）10台（套）。</w:t>
      </w:r>
    </w:p>
    <w:p w14:paraId="1CFE8711">
      <w:pPr>
        <w:widowControl w:val="0"/>
        <w:spacing w:after="0" w:line="600" w:lineRule="exact"/>
        <w:ind w:firstLine="640" w:firstLineChars="200"/>
        <w:jc w:val="both"/>
        <w:outlineLvl w:val="1"/>
        <w:rPr>
          <w:rFonts w:hint="eastAsia" w:ascii="黑体" w:hAnsi="黑体" w:eastAsia="黑体" w:cs="宋体"/>
          <w:bCs/>
          <w:kern w:val="0"/>
          <w:sz w:val="32"/>
          <w:szCs w:val="32"/>
          <w:lang w:eastAsia="zh-CN"/>
        </w:rPr>
      </w:pPr>
      <w:r>
        <w:rPr>
          <w:rFonts w:hint="eastAsia" w:ascii="黑体" w:hAnsi="黑体" w:eastAsia="黑体" w:cs="宋体"/>
          <w:bCs/>
          <w:kern w:val="0"/>
          <w:sz w:val="32"/>
          <w:szCs w:val="32"/>
          <w:lang w:eastAsia="zh-CN"/>
        </w:rPr>
        <w:t>十一、预算绩效的情况说明</w:t>
      </w:r>
    </w:p>
    <w:p w14:paraId="533992C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根据预算绩效管理要求，本单位2025年度预算绩效评价项目1个，全年预算数2,300.00万元，全年执行数</w:t>
      </w:r>
      <w:r>
        <w:rPr>
          <w:rFonts w:hint="eastAsia" w:ascii="仿宋_GB2312" w:eastAsia="仿宋_GB2312"/>
          <w:b w:val="0"/>
          <w:sz w:val="32"/>
          <w:szCs w:val="32"/>
          <w:highlight w:val="none"/>
          <w:lang w:val="en-US" w:eastAsia="zh-CN"/>
        </w:rPr>
        <w:t>1</w:t>
      </w:r>
      <w:r>
        <w:rPr>
          <w:rFonts w:ascii="仿宋_GB2312" w:eastAsia="仿宋_GB2312"/>
          <w:b w:val="0"/>
          <w:sz w:val="32"/>
          <w:szCs w:val="32"/>
          <w:highlight w:val="none"/>
        </w:rPr>
        <w:t>,</w:t>
      </w:r>
      <w:r>
        <w:rPr>
          <w:rFonts w:hint="eastAsia" w:ascii="仿宋_GB2312" w:eastAsia="仿宋_GB2312"/>
          <w:b w:val="0"/>
          <w:sz w:val="32"/>
          <w:szCs w:val="32"/>
          <w:highlight w:val="none"/>
          <w:lang w:val="en-US" w:eastAsia="zh-CN"/>
        </w:rPr>
        <w:t>360.20</w:t>
      </w:r>
      <w:r>
        <w:rPr>
          <w:rFonts w:ascii="仿宋_GB2312" w:eastAsia="仿宋_GB2312"/>
          <w:b w:val="0"/>
          <w:sz w:val="32"/>
          <w:szCs w:val="32"/>
          <w:highlight w:val="none"/>
        </w:rPr>
        <w:t>万元。预算绩效管理取得的成效：一是按照绩效目标高效、高质量完成各项工作内容；二是能够及时发现问题并及时调整各项工作内容。发现的问题及原因：一是要改进管理方式方法，提高资金使用效益；二是有的绩效评价指标设置不科学，需要改进。下一步改进措施：一是要加强绩效“全过程”管理力度，按时完成绩效管理任务；二是合理设置绩效评价指标。具体附项目支出绩效自评表。</w:t>
      </w:r>
    </w:p>
    <w:p w14:paraId="47642C6A">
      <w:pPr>
        <w:widowControl w:val="0"/>
        <w:spacing w:after="0" w:line="600" w:lineRule="exact"/>
        <w:ind w:firstLine="640" w:firstLineChars="200"/>
        <w:jc w:val="both"/>
        <w:outlineLvl w:val="1"/>
        <w:rPr>
          <w:rFonts w:hint="eastAsia" w:ascii="黑体" w:hAnsi="黑体" w:eastAsia="黑体" w:cs="宋体"/>
          <w:bCs/>
          <w:kern w:val="0"/>
          <w:sz w:val="32"/>
          <w:szCs w:val="32"/>
          <w:lang w:eastAsia="zh-CN"/>
        </w:rPr>
      </w:pPr>
      <w:r>
        <w:rPr>
          <w:rFonts w:hint="eastAsia" w:ascii="黑体" w:hAnsi="黑体" w:eastAsia="黑体" w:cs="宋体"/>
          <w:bCs/>
          <w:kern w:val="0"/>
          <w:sz w:val="32"/>
          <w:szCs w:val="32"/>
          <w:lang w:eastAsia="zh-CN"/>
        </w:rPr>
        <w:t>十二、其他需说明的事项</w:t>
      </w:r>
    </w:p>
    <w:p w14:paraId="25A97DF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本单位无其他需说明的事项。</w:t>
      </w:r>
    </w:p>
    <w:p w14:paraId="5D5F2FA9">
      <w:pPr>
        <w:widowControl/>
        <w:rPr>
          <w:highlight w:val="none"/>
        </w:rPr>
      </w:pPr>
      <w:r>
        <w:rPr>
          <w:b w:val="0"/>
          <w:sz w:val="0"/>
          <w:szCs w:val="0"/>
          <w:highlight w:val="none"/>
        </w:rPr>
        <w:br w:type="page"/>
      </w:r>
    </w:p>
    <w:p w14:paraId="4D77186E">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5712A64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5FDAAC7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2007B8B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78C660A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6AAC8E7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049AB85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18C8476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24521F5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4FE7C2C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3BDBEF6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731A00A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2104CB7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25A0A10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385E635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552C645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5A9E772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3A7C6A8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4300C8F6">
      <w:pPr>
        <w:widowControl/>
      </w:pPr>
      <w:r>
        <w:rPr>
          <w:b w:val="0"/>
          <w:sz w:val="0"/>
          <w:szCs w:val="0"/>
        </w:rPr>
        <w:br w:type="page"/>
      </w:r>
    </w:p>
    <w:p w14:paraId="5E4DCEA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center"/>
        <w:textAlignment w:val="auto"/>
        <w:outlineLvl w:val="0"/>
        <w:rPr>
          <w:rFonts w:ascii="黑体" w:eastAsia="黑体"/>
          <w:sz w:val="32"/>
          <w:szCs w:val="32"/>
        </w:rPr>
      </w:pPr>
      <w:r>
        <w:rPr>
          <w:rFonts w:ascii="黑体" w:eastAsia="黑体"/>
          <w:b w:val="0"/>
          <w:sz w:val="32"/>
          <w:szCs w:val="32"/>
        </w:rPr>
        <w:t>第四部分 部门决算报表（见附表）</w:t>
      </w:r>
    </w:p>
    <w:p w14:paraId="2A6602D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14:paraId="4291B87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14:paraId="592A396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14:paraId="7BB1D29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14:paraId="1937214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14:paraId="0258321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2FB66E2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763BB32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37F3769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5A4BD25B-B770-4641-BA00-9D72C4DA67E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_GBK">
    <w:panose1 w:val="02000000000000000000"/>
    <w:charset w:val="86"/>
    <w:family w:val="script"/>
    <w:pitch w:val="default"/>
    <w:sig w:usb0="A00002BF" w:usb1="38CF7CFA" w:usb2="00082016" w:usb3="00000000" w:csb0="00040001" w:csb1="00000000"/>
    <w:embedRegular r:id="rId2" w:fontKey="{7FD436FA-AB24-4077-A5F4-F966C62FB979}"/>
  </w:font>
  <w:font w:name="仿宋_GB2312">
    <w:panose1 w:val="02010609030101010101"/>
    <w:charset w:val="86"/>
    <w:family w:val="auto"/>
    <w:pitch w:val="default"/>
    <w:sig w:usb0="00000001" w:usb1="080E0000" w:usb2="00000000" w:usb3="00000000" w:csb0="00040000" w:csb1="00000000"/>
    <w:embedRegular r:id="rId3" w:fontKey="{8ECF4257-06CB-4100-9EE4-1CF4AC893693}"/>
  </w:font>
  <w:font w:name="楷体_GB2312">
    <w:panose1 w:val="02010609030101010101"/>
    <w:charset w:val="86"/>
    <w:family w:val="auto"/>
    <w:pitch w:val="default"/>
    <w:sig w:usb0="00000001" w:usb1="080E0000" w:usb2="00000000" w:usb3="00000000" w:csb0="00040000" w:csb1="00000000"/>
    <w:embedRegular r:id="rId4" w:fontKey="{1673F9B5-7D4C-45B8-B386-99FE691FBD0D}"/>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00000000"/>
    <w:rsid w:val="06ED4100"/>
    <w:rsid w:val="07117EF5"/>
    <w:rsid w:val="07632E46"/>
    <w:rsid w:val="095C5D9F"/>
    <w:rsid w:val="0A60366D"/>
    <w:rsid w:val="0D63594E"/>
    <w:rsid w:val="0F8C6CB2"/>
    <w:rsid w:val="15C437DD"/>
    <w:rsid w:val="1A587EBD"/>
    <w:rsid w:val="1DAD1554"/>
    <w:rsid w:val="1DDF4451"/>
    <w:rsid w:val="23476D20"/>
    <w:rsid w:val="23BC770E"/>
    <w:rsid w:val="24E76D9D"/>
    <w:rsid w:val="252E1F46"/>
    <w:rsid w:val="25FA451E"/>
    <w:rsid w:val="27391076"/>
    <w:rsid w:val="288612B9"/>
    <w:rsid w:val="2A8D5961"/>
    <w:rsid w:val="2AAB4C15"/>
    <w:rsid w:val="2CFF6548"/>
    <w:rsid w:val="2F6D3FB3"/>
    <w:rsid w:val="2F8D6403"/>
    <w:rsid w:val="32CF6FA0"/>
    <w:rsid w:val="33524AF4"/>
    <w:rsid w:val="33AB50A9"/>
    <w:rsid w:val="33CC574C"/>
    <w:rsid w:val="362708E9"/>
    <w:rsid w:val="37904CE2"/>
    <w:rsid w:val="3AE8273F"/>
    <w:rsid w:val="3C7A234B"/>
    <w:rsid w:val="3F9B4224"/>
    <w:rsid w:val="41287D39"/>
    <w:rsid w:val="418A27A2"/>
    <w:rsid w:val="457E7663"/>
    <w:rsid w:val="46DA22A9"/>
    <w:rsid w:val="4957740E"/>
    <w:rsid w:val="49D123EE"/>
    <w:rsid w:val="4BC468B1"/>
    <w:rsid w:val="4DBE5CAD"/>
    <w:rsid w:val="4E30671B"/>
    <w:rsid w:val="50926F7D"/>
    <w:rsid w:val="52224331"/>
    <w:rsid w:val="527A3DD9"/>
    <w:rsid w:val="544B2D16"/>
    <w:rsid w:val="54AF522D"/>
    <w:rsid w:val="55376345"/>
    <w:rsid w:val="5960230F"/>
    <w:rsid w:val="59AA2E4E"/>
    <w:rsid w:val="59EC5950"/>
    <w:rsid w:val="5B955B74"/>
    <w:rsid w:val="5DF94AE0"/>
    <w:rsid w:val="5F49114F"/>
    <w:rsid w:val="625E1759"/>
    <w:rsid w:val="63081D9F"/>
    <w:rsid w:val="64264155"/>
    <w:rsid w:val="661324B7"/>
    <w:rsid w:val="665E7BD6"/>
    <w:rsid w:val="67BE504D"/>
    <w:rsid w:val="6A0E547B"/>
    <w:rsid w:val="700D088C"/>
    <w:rsid w:val="71DE0782"/>
    <w:rsid w:val="722241AD"/>
    <w:rsid w:val="73DF33AB"/>
    <w:rsid w:val="75BA06EA"/>
    <w:rsid w:val="765D2F12"/>
    <w:rsid w:val="76820A41"/>
    <w:rsid w:val="77D47CF8"/>
    <w:rsid w:val="79751067"/>
    <w:rsid w:val="799314ED"/>
    <w:rsid w:val="79DD09BA"/>
    <w:rsid w:val="7DE467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20"/>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21"/>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22"/>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3"/>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annotation text"/>
    <w:basedOn w:val="1"/>
    <w:semiHidden/>
    <w:unhideWhenUsed/>
    <w:qFormat/>
    <w:uiPriority w:val="99"/>
    <w:pPr>
      <w:jc w:val="left"/>
    </w:pPr>
  </w:style>
  <w:style w:type="paragraph" w:styleId="9">
    <w:name w:val="header"/>
    <w:basedOn w:val="1"/>
    <w:link w:val="19"/>
    <w:unhideWhenUsed/>
    <w:qFormat/>
    <w:uiPriority w:val="99"/>
    <w:pPr>
      <w:tabs>
        <w:tab w:val="center" w:pos="4680"/>
        <w:tab w:val="right" w:pos="9360"/>
      </w:tabs>
    </w:pPr>
  </w:style>
  <w:style w:type="paragraph" w:styleId="10">
    <w:name w:val="toc 1"/>
    <w:basedOn w:val="1"/>
    <w:next w:val="1"/>
    <w:qFormat/>
    <w:uiPriority w:val="0"/>
  </w:style>
  <w:style w:type="paragraph" w:styleId="11">
    <w:name w:val="Subtitle"/>
    <w:basedOn w:val="1"/>
    <w:next w:val="1"/>
    <w:link w:val="24"/>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2">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3">
    <w:name w:val="Title"/>
    <w:basedOn w:val="1"/>
    <w:next w:val="1"/>
    <w:link w:val="25"/>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5">
    <w:name w:val="Table Grid"/>
    <w:basedOn w:val="14"/>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7">
    <w:name w:val="Emphasis"/>
    <w:basedOn w:val="16"/>
    <w:qFormat/>
    <w:uiPriority w:val="20"/>
    <w:rPr>
      <w:i/>
      <w:iCs/>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customStyle="1" w:styleId="19">
    <w:name w:val="Header Char"/>
    <w:basedOn w:val="16"/>
    <w:link w:val="9"/>
    <w:qFormat/>
    <w:uiPriority w:val="99"/>
  </w:style>
  <w:style w:type="character" w:customStyle="1" w:styleId="20">
    <w:name w:val="Heading 1 Char"/>
    <w:basedOn w:val="16"/>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21">
    <w:name w:val="Heading 2 Char"/>
    <w:basedOn w:val="16"/>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22">
    <w:name w:val="Heading 3 Char"/>
    <w:basedOn w:val="16"/>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3">
    <w:name w:val="Heading 4 Char"/>
    <w:basedOn w:val="16"/>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4">
    <w:name w:val="Subtitle Char"/>
    <w:basedOn w:val="16"/>
    <w:link w:val="11"/>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5">
    <w:name w:val="Title Char"/>
    <w:basedOn w:val="16"/>
    <w:link w:val="13"/>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15</Pages>
  <Words>5586</Words>
  <Characters>6327</Characters>
  <TotalTime>5</TotalTime>
  <ScaleCrop>false</ScaleCrop>
  <LinksUpToDate>false</LinksUpToDate>
  <CharactersWithSpaces>6337</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2026-08-17T09:41:00Z</dcterms:created>
  <dc:creator>lenovo</dc:creator>
  <cp:lastModifiedBy>雨。</cp:lastModifiedBy>
  <dcterms:modified xsi:type="dcterms:W3CDTF">2026-08-29T12:38:59Z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eyJoZGlkIjoiYTZjZThjMDFjYjU0NDRjYWE1YjFlZmFjNmU0NDBiYTgiLCJ1c2VySWQiOiI0NjExNzA3OTgifQ==</vt:lpwstr>
  </property>
  <property fmtid="{D5CDD505-2E9C-101B-9397-08002B2CF9AE}" pid="3" name="KSOProductBuildVer">
    <vt:lpwstr>2052-12.1.0.18608</vt:lpwstr>
  </property>
  <property fmtid="{D5CDD505-2E9C-101B-9397-08002B2CF9AE}" pid="4" name="ICV">
    <vt:lpwstr>786D5F7E29F8431FACE15885C3608B67_13</vt:lpwstr>
  </property>
</Properties>
</file>