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EF4516">
      <w:pPr>
        <w:spacing w:line="240" w:lineRule="auto"/>
        <w:rPr>
          <w:rFonts w:ascii="宋体" w:eastAsia="宋体"/>
          <w:sz w:val="32"/>
          <w:szCs w:val="32"/>
        </w:rPr>
      </w:pPr>
    </w:p>
    <w:p w14:paraId="4E6204B6">
      <w:pPr>
        <w:spacing w:line="240" w:lineRule="auto"/>
        <w:rPr>
          <w:rFonts w:ascii="宋体" w:eastAsia="宋体"/>
          <w:sz w:val="44"/>
          <w:szCs w:val="44"/>
        </w:rPr>
      </w:pPr>
    </w:p>
    <w:p w14:paraId="7E284BD6">
      <w:pPr>
        <w:spacing w:line="240" w:lineRule="auto"/>
        <w:rPr>
          <w:rFonts w:ascii="宋体" w:eastAsia="宋体"/>
          <w:sz w:val="44"/>
          <w:szCs w:val="44"/>
        </w:rPr>
      </w:pPr>
    </w:p>
    <w:p w14:paraId="2C4E379B">
      <w:pPr>
        <w:spacing w:line="240" w:lineRule="auto"/>
        <w:rPr>
          <w:rFonts w:ascii="宋体" w:eastAsia="宋体"/>
          <w:sz w:val="44"/>
          <w:szCs w:val="44"/>
        </w:rPr>
      </w:pPr>
    </w:p>
    <w:p w14:paraId="1EA52DC4">
      <w:pPr>
        <w:spacing w:line="240" w:lineRule="auto"/>
        <w:jc w:val="center"/>
        <w:outlineLvl w:val="0"/>
        <w:rPr>
          <w:rFonts w:ascii="宋体" w:eastAsia="黑体"/>
          <w:sz w:val="44"/>
          <w:szCs w:val="44"/>
        </w:rPr>
      </w:pPr>
      <w:r>
        <w:rPr>
          <w:rFonts w:ascii="宋体" w:eastAsia="黑体"/>
          <w:sz w:val="44"/>
          <w:szCs w:val="44"/>
        </w:rPr>
        <w:t>新疆维吾尔自治区体育科研中心（新疆维吾尔自治区反兴奋剂中心）</w:t>
      </w:r>
    </w:p>
    <w:p w14:paraId="5C893C83">
      <w:pPr>
        <w:spacing w:line="240" w:lineRule="auto"/>
        <w:jc w:val="center"/>
        <w:outlineLvl w:val="0"/>
        <w:rPr>
          <w:rFonts w:ascii="黑体" w:eastAsia="黑体"/>
          <w:sz w:val="44"/>
          <w:szCs w:val="44"/>
        </w:rPr>
      </w:pPr>
      <w:r>
        <w:rPr>
          <w:rFonts w:ascii="黑体" w:eastAsia="黑体"/>
          <w:sz w:val="44"/>
          <w:szCs w:val="44"/>
        </w:rPr>
        <w:t>2025年度部门决算公开说明</w:t>
      </w:r>
    </w:p>
    <w:p w14:paraId="35E6D7D3">
      <w:r>
        <w:rPr>
          <w:sz w:val="0"/>
          <w:szCs w:val="0"/>
        </w:rPr>
        <w:br w:type="page"/>
      </w:r>
    </w:p>
    <w:p w14:paraId="486B47EA">
      <w:pPr>
        <w:spacing w:line="240" w:lineRule="auto"/>
        <w:jc w:val="center"/>
        <w:rPr>
          <w:rFonts w:ascii="黑体" w:eastAsia="黑体"/>
          <w:sz w:val="32"/>
          <w:szCs w:val="32"/>
        </w:rPr>
      </w:pPr>
      <w:r>
        <w:rPr>
          <w:rFonts w:ascii="黑体" w:eastAsia="黑体"/>
          <w:b/>
          <w:sz w:val="32"/>
          <w:szCs w:val="32"/>
        </w:rPr>
        <w:t>目 录</w:t>
      </w:r>
    </w:p>
    <w:p w14:paraId="6A64A102">
      <w:pPr>
        <w:spacing w:line="240" w:lineRule="auto"/>
        <w:rPr>
          <w:rFonts w:ascii="仿宋_GB2312" w:eastAsia="仿宋_GB2312"/>
          <w:sz w:val="32"/>
          <w:szCs w:val="32"/>
        </w:rPr>
      </w:pPr>
      <w:r>
        <w:rPr>
          <w:rFonts w:ascii="仿宋_GB2312" w:eastAsia="仿宋_GB2312"/>
          <w:b/>
          <w:sz w:val="32"/>
          <w:szCs w:val="32"/>
        </w:rPr>
        <w:t>第一部分单位概况</w:t>
      </w:r>
    </w:p>
    <w:p w14:paraId="0F5AC4DE">
      <w:pPr>
        <w:spacing w:line="240" w:lineRule="auto"/>
        <w:rPr>
          <w:rFonts w:ascii="仿宋_GB2312" w:eastAsia="仿宋_GB2312"/>
          <w:sz w:val="32"/>
          <w:szCs w:val="32"/>
        </w:rPr>
      </w:pPr>
      <w:r>
        <w:rPr>
          <w:rFonts w:ascii="仿宋_GB2312" w:eastAsia="仿宋_GB2312"/>
          <w:sz w:val="32"/>
          <w:szCs w:val="32"/>
        </w:rPr>
        <w:t>一、主要职能</w:t>
      </w:r>
    </w:p>
    <w:p w14:paraId="24DD6111">
      <w:pPr>
        <w:spacing w:line="240" w:lineRule="auto"/>
        <w:rPr>
          <w:rFonts w:ascii="仿宋_GB2312" w:eastAsia="仿宋_GB2312"/>
          <w:sz w:val="32"/>
          <w:szCs w:val="32"/>
        </w:rPr>
      </w:pPr>
      <w:r>
        <w:rPr>
          <w:rFonts w:ascii="仿宋_GB2312" w:eastAsia="仿宋_GB2312"/>
          <w:sz w:val="32"/>
          <w:szCs w:val="32"/>
        </w:rPr>
        <w:t>二、机构设置</w:t>
      </w:r>
    </w:p>
    <w:p w14:paraId="7EA89459">
      <w:pPr>
        <w:spacing w:line="240" w:lineRule="auto"/>
        <w:rPr>
          <w:rFonts w:ascii="仿宋_GB2312" w:eastAsia="仿宋_GB2312"/>
          <w:sz w:val="32"/>
          <w:szCs w:val="32"/>
        </w:rPr>
      </w:pPr>
      <w:r>
        <w:rPr>
          <w:rFonts w:ascii="仿宋_GB2312" w:eastAsia="仿宋_GB2312"/>
          <w:b/>
          <w:sz w:val="32"/>
          <w:szCs w:val="32"/>
        </w:rPr>
        <w:t>第二部分 部门决算情况说明</w:t>
      </w:r>
    </w:p>
    <w:p w14:paraId="7C08D29B">
      <w:pPr>
        <w:spacing w:line="240" w:lineRule="auto"/>
        <w:rPr>
          <w:rFonts w:ascii="仿宋_GB2312" w:eastAsia="仿宋_GB2312"/>
          <w:sz w:val="32"/>
          <w:szCs w:val="32"/>
        </w:rPr>
      </w:pPr>
      <w:r>
        <w:rPr>
          <w:rFonts w:ascii="仿宋_GB2312" w:eastAsia="仿宋_GB2312"/>
          <w:sz w:val="32"/>
          <w:szCs w:val="32"/>
        </w:rPr>
        <w:t>一、收入支出决算总体情况说明</w:t>
      </w:r>
    </w:p>
    <w:p w14:paraId="0140921F">
      <w:pPr>
        <w:spacing w:line="240" w:lineRule="auto"/>
        <w:rPr>
          <w:rFonts w:ascii="仿宋_GB2312" w:eastAsia="仿宋_GB2312"/>
          <w:sz w:val="32"/>
          <w:szCs w:val="32"/>
        </w:rPr>
      </w:pPr>
      <w:r>
        <w:rPr>
          <w:rFonts w:ascii="仿宋_GB2312" w:eastAsia="仿宋_GB2312"/>
          <w:sz w:val="32"/>
          <w:szCs w:val="32"/>
        </w:rPr>
        <w:t>二、收入决算情况说明</w:t>
      </w:r>
    </w:p>
    <w:p w14:paraId="6BA0A9BA">
      <w:pPr>
        <w:spacing w:line="240" w:lineRule="auto"/>
        <w:rPr>
          <w:rFonts w:ascii="仿宋_GB2312" w:eastAsia="仿宋_GB2312"/>
          <w:sz w:val="32"/>
          <w:szCs w:val="32"/>
        </w:rPr>
      </w:pPr>
      <w:r>
        <w:rPr>
          <w:rFonts w:ascii="仿宋_GB2312" w:eastAsia="仿宋_GB2312"/>
          <w:sz w:val="32"/>
          <w:szCs w:val="32"/>
        </w:rPr>
        <w:t>三、支出决算情况说明</w:t>
      </w:r>
    </w:p>
    <w:p w14:paraId="7BB7B4F1">
      <w:pPr>
        <w:spacing w:line="240" w:lineRule="auto"/>
        <w:rPr>
          <w:rFonts w:ascii="仿宋_GB2312" w:eastAsia="仿宋_GB2312"/>
          <w:sz w:val="32"/>
          <w:szCs w:val="32"/>
        </w:rPr>
      </w:pPr>
      <w:r>
        <w:rPr>
          <w:rFonts w:ascii="仿宋_GB2312" w:eastAsia="仿宋_GB2312"/>
          <w:sz w:val="32"/>
          <w:szCs w:val="32"/>
        </w:rPr>
        <w:t>四、财政拨款收入支出决算总体情况说明</w:t>
      </w:r>
    </w:p>
    <w:p w14:paraId="4DB0C71A">
      <w:pPr>
        <w:spacing w:line="240" w:lineRule="auto"/>
        <w:rPr>
          <w:rFonts w:ascii="仿宋_GB2312" w:eastAsia="仿宋_GB2312"/>
          <w:sz w:val="32"/>
          <w:szCs w:val="32"/>
        </w:rPr>
      </w:pPr>
      <w:r>
        <w:rPr>
          <w:rFonts w:ascii="仿宋_GB2312" w:eastAsia="仿宋_GB2312"/>
          <w:sz w:val="32"/>
          <w:szCs w:val="32"/>
        </w:rPr>
        <w:t>五、一般公共预算财政拨款支出决算情况说明</w:t>
      </w:r>
    </w:p>
    <w:p w14:paraId="3F83F7F2">
      <w:pPr>
        <w:spacing w:line="240" w:lineRule="auto"/>
        <w:rPr>
          <w:rFonts w:ascii="仿宋_GB2312" w:eastAsia="仿宋_GB2312"/>
          <w:sz w:val="32"/>
          <w:szCs w:val="32"/>
        </w:rPr>
      </w:pPr>
      <w:r>
        <w:rPr>
          <w:rFonts w:ascii="仿宋_GB2312" w:eastAsia="仿宋_GB2312"/>
          <w:sz w:val="32"/>
          <w:szCs w:val="32"/>
        </w:rPr>
        <w:t>（一）一般公共预算财政拨款支出决算总体情况</w:t>
      </w:r>
    </w:p>
    <w:p w14:paraId="30D0C530">
      <w:pPr>
        <w:spacing w:line="240" w:lineRule="auto"/>
        <w:rPr>
          <w:rFonts w:ascii="仿宋_GB2312" w:eastAsia="仿宋_GB2312"/>
          <w:sz w:val="32"/>
          <w:szCs w:val="32"/>
        </w:rPr>
      </w:pPr>
      <w:r>
        <w:rPr>
          <w:rFonts w:ascii="仿宋_GB2312" w:eastAsia="仿宋_GB2312"/>
          <w:sz w:val="32"/>
          <w:szCs w:val="32"/>
        </w:rPr>
        <w:t>（二）一般公共预算财政拨款支出决算结构情况</w:t>
      </w:r>
    </w:p>
    <w:p w14:paraId="6856CD0A">
      <w:pPr>
        <w:spacing w:line="240" w:lineRule="auto"/>
        <w:rPr>
          <w:rFonts w:ascii="仿宋_GB2312" w:eastAsia="仿宋_GB2312"/>
          <w:sz w:val="32"/>
          <w:szCs w:val="32"/>
        </w:rPr>
      </w:pPr>
      <w:r>
        <w:rPr>
          <w:rFonts w:ascii="仿宋_GB2312" w:eastAsia="仿宋_GB2312"/>
          <w:sz w:val="32"/>
          <w:szCs w:val="32"/>
        </w:rPr>
        <w:t>（三）一般公共预算财政拨款支出决算具体情况</w:t>
      </w:r>
    </w:p>
    <w:p w14:paraId="7DECDF65">
      <w:pPr>
        <w:spacing w:line="240" w:lineRule="auto"/>
        <w:rPr>
          <w:rFonts w:ascii="仿宋_GB2312" w:eastAsia="仿宋_GB2312"/>
          <w:sz w:val="32"/>
          <w:szCs w:val="32"/>
        </w:rPr>
      </w:pPr>
      <w:r>
        <w:rPr>
          <w:rFonts w:ascii="仿宋_GB2312" w:eastAsia="仿宋_GB2312"/>
          <w:sz w:val="32"/>
          <w:szCs w:val="32"/>
        </w:rPr>
        <w:t>六、一般公共预算财政拨款基本支出决算情况说明</w:t>
      </w:r>
    </w:p>
    <w:p w14:paraId="6977E992">
      <w:pPr>
        <w:spacing w:line="240" w:lineRule="auto"/>
        <w:rPr>
          <w:rFonts w:ascii="仿宋_GB2312" w:eastAsia="仿宋_GB2312"/>
          <w:sz w:val="32"/>
          <w:szCs w:val="32"/>
        </w:rPr>
      </w:pPr>
      <w:r>
        <w:rPr>
          <w:rFonts w:ascii="仿宋_GB2312" w:eastAsia="仿宋_GB2312"/>
          <w:sz w:val="32"/>
          <w:szCs w:val="32"/>
        </w:rPr>
        <w:t>七、政府性基金预算财政拨款收入支出决算情况说明</w:t>
      </w:r>
    </w:p>
    <w:p w14:paraId="1396375A">
      <w:pPr>
        <w:spacing w:line="240" w:lineRule="auto"/>
        <w:rPr>
          <w:rFonts w:ascii="仿宋_GB2312" w:eastAsia="仿宋_GB2312"/>
          <w:sz w:val="32"/>
          <w:szCs w:val="32"/>
        </w:rPr>
      </w:pPr>
      <w:r>
        <w:rPr>
          <w:rFonts w:ascii="仿宋_GB2312" w:eastAsia="仿宋_GB2312"/>
          <w:sz w:val="32"/>
          <w:szCs w:val="32"/>
        </w:rPr>
        <w:t>八、国有资本经营预算财政拨款收入支出决算情况说明</w:t>
      </w:r>
    </w:p>
    <w:p w14:paraId="512E6065">
      <w:pPr>
        <w:spacing w:line="240" w:lineRule="auto"/>
        <w:rPr>
          <w:rFonts w:ascii="仿宋_GB2312" w:eastAsia="仿宋_GB2312"/>
          <w:sz w:val="32"/>
          <w:szCs w:val="32"/>
        </w:rPr>
      </w:pPr>
      <w:r>
        <w:rPr>
          <w:rFonts w:ascii="仿宋_GB2312" w:eastAsia="仿宋_GB2312"/>
          <w:sz w:val="32"/>
          <w:szCs w:val="32"/>
        </w:rPr>
        <w:t>九、财政拨款“三公”经费支出决算情况说明</w:t>
      </w:r>
    </w:p>
    <w:p w14:paraId="070A6869">
      <w:pPr>
        <w:spacing w:line="240" w:lineRule="auto"/>
        <w:rPr>
          <w:rFonts w:ascii="仿宋_GB2312" w:eastAsia="仿宋_GB2312"/>
          <w:sz w:val="32"/>
          <w:szCs w:val="32"/>
        </w:rPr>
      </w:pPr>
      <w:r>
        <w:rPr>
          <w:rFonts w:ascii="仿宋_GB2312" w:eastAsia="仿宋_GB2312"/>
          <w:sz w:val="32"/>
          <w:szCs w:val="32"/>
        </w:rPr>
        <w:t>十、其他重要事项的情况说明</w:t>
      </w:r>
    </w:p>
    <w:p w14:paraId="55AFA97F">
      <w:pPr>
        <w:spacing w:line="240" w:lineRule="auto"/>
        <w:rPr>
          <w:rFonts w:ascii="仿宋_GB2312" w:eastAsia="仿宋_GB2312"/>
          <w:sz w:val="32"/>
          <w:szCs w:val="32"/>
        </w:rPr>
      </w:pPr>
      <w:r>
        <w:rPr>
          <w:rFonts w:ascii="仿宋_GB2312" w:eastAsia="仿宋_GB2312"/>
          <w:sz w:val="32"/>
          <w:szCs w:val="32"/>
        </w:rPr>
        <w:t>（一）机关运行经费及公用经费支出情况</w:t>
      </w:r>
    </w:p>
    <w:p w14:paraId="3BDB422B">
      <w:pPr>
        <w:spacing w:line="240" w:lineRule="auto"/>
        <w:rPr>
          <w:rFonts w:ascii="仿宋_GB2312" w:eastAsia="仿宋_GB2312"/>
          <w:sz w:val="32"/>
          <w:szCs w:val="32"/>
        </w:rPr>
      </w:pPr>
      <w:r>
        <w:rPr>
          <w:rFonts w:ascii="仿宋_GB2312" w:eastAsia="仿宋_GB2312"/>
          <w:sz w:val="32"/>
          <w:szCs w:val="32"/>
        </w:rPr>
        <w:t>（二）政府采购情况</w:t>
      </w:r>
    </w:p>
    <w:p w14:paraId="07C2590B">
      <w:pPr>
        <w:spacing w:line="240" w:lineRule="auto"/>
        <w:rPr>
          <w:rFonts w:ascii="仿宋_GB2312" w:eastAsia="仿宋_GB2312"/>
          <w:sz w:val="32"/>
          <w:szCs w:val="32"/>
        </w:rPr>
      </w:pPr>
      <w:r>
        <w:rPr>
          <w:rFonts w:ascii="仿宋_GB2312" w:eastAsia="仿宋_GB2312"/>
          <w:sz w:val="32"/>
          <w:szCs w:val="32"/>
        </w:rPr>
        <w:t>（三）国有资产占用情况说明</w:t>
      </w:r>
    </w:p>
    <w:p w14:paraId="77F18093">
      <w:pPr>
        <w:spacing w:line="240" w:lineRule="auto"/>
        <w:rPr>
          <w:rFonts w:ascii="仿宋_GB2312" w:eastAsia="仿宋_GB2312"/>
          <w:sz w:val="32"/>
          <w:szCs w:val="32"/>
        </w:rPr>
      </w:pPr>
      <w:r>
        <w:rPr>
          <w:rFonts w:ascii="仿宋_GB2312" w:eastAsia="仿宋_GB2312"/>
          <w:sz w:val="32"/>
          <w:szCs w:val="32"/>
        </w:rPr>
        <w:t>十一、预算绩效的情况说明</w:t>
      </w:r>
    </w:p>
    <w:p w14:paraId="42BB2FCA">
      <w:pPr>
        <w:spacing w:line="240" w:lineRule="auto"/>
        <w:rPr>
          <w:rFonts w:ascii="仿宋_GB2312" w:eastAsia="仿宋_GB2312"/>
          <w:sz w:val="32"/>
          <w:szCs w:val="32"/>
        </w:rPr>
      </w:pPr>
      <w:r>
        <w:rPr>
          <w:rFonts w:ascii="仿宋_GB2312" w:eastAsia="仿宋_GB2312"/>
          <w:sz w:val="32"/>
          <w:szCs w:val="32"/>
        </w:rPr>
        <w:t>十二、其他需说明的事项</w:t>
      </w:r>
    </w:p>
    <w:p w14:paraId="3F9848EA">
      <w:pPr>
        <w:spacing w:line="240" w:lineRule="auto"/>
        <w:rPr>
          <w:rFonts w:ascii="仿宋_GB2312" w:eastAsia="仿宋_GB2312"/>
          <w:sz w:val="32"/>
          <w:szCs w:val="32"/>
        </w:rPr>
      </w:pPr>
      <w:r>
        <w:rPr>
          <w:rFonts w:ascii="仿宋_GB2312" w:eastAsia="仿宋_GB2312"/>
          <w:b/>
          <w:sz w:val="32"/>
          <w:szCs w:val="32"/>
        </w:rPr>
        <w:t>第三部分 专业名词解释</w:t>
      </w:r>
    </w:p>
    <w:p w14:paraId="5EF4799F">
      <w:pPr>
        <w:spacing w:line="240" w:lineRule="auto"/>
        <w:rPr>
          <w:rFonts w:ascii="仿宋_GB2312" w:eastAsia="仿宋_GB2312"/>
          <w:sz w:val="32"/>
          <w:szCs w:val="32"/>
        </w:rPr>
      </w:pPr>
      <w:r>
        <w:rPr>
          <w:rFonts w:ascii="仿宋_GB2312" w:eastAsia="仿宋_GB2312"/>
          <w:b/>
          <w:sz w:val="32"/>
          <w:szCs w:val="32"/>
        </w:rPr>
        <w:t>第四部分 部门决算报表（见附表）</w:t>
      </w:r>
    </w:p>
    <w:p w14:paraId="7415B0DC">
      <w:pPr>
        <w:spacing w:line="240" w:lineRule="auto"/>
        <w:rPr>
          <w:rFonts w:ascii="仿宋_GB2312" w:eastAsia="仿宋_GB2312"/>
          <w:sz w:val="32"/>
          <w:szCs w:val="32"/>
        </w:rPr>
      </w:pPr>
      <w:r>
        <w:rPr>
          <w:rFonts w:ascii="仿宋_GB2312" w:eastAsia="仿宋_GB2312"/>
          <w:sz w:val="32"/>
          <w:szCs w:val="32"/>
        </w:rPr>
        <w:t>一、《收入支出决算总表》</w:t>
      </w:r>
    </w:p>
    <w:p w14:paraId="5B5D1E08">
      <w:pPr>
        <w:spacing w:line="240" w:lineRule="auto"/>
        <w:rPr>
          <w:rFonts w:ascii="仿宋_GB2312" w:eastAsia="仿宋_GB2312"/>
          <w:sz w:val="32"/>
          <w:szCs w:val="32"/>
        </w:rPr>
      </w:pPr>
      <w:r>
        <w:rPr>
          <w:rFonts w:ascii="仿宋_GB2312" w:eastAsia="仿宋_GB2312"/>
          <w:sz w:val="32"/>
          <w:szCs w:val="32"/>
        </w:rPr>
        <w:t>二、《收入决算表》</w:t>
      </w:r>
    </w:p>
    <w:p w14:paraId="57C50D86">
      <w:pPr>
        <w:spacing w:line="240" w:lineRule="auto"/>
        <w:rPr>
          <w:rFonts w:ascii="仿宋_GB2312" w:eastAsia="仿宋_GB2312"/>
          <w:sz w:val="32"/>
          <w:szCs w:val="32"/>
        </w:rPr>
      </w:pPr>
      <w:r>
        <w:rPr>
          <w:rFonts w:ascii="仿宋_GB2312" w:eastAsia="仿宋_GB2312"/>
          <w:sz w:val="32"/>
          <w:szCs w:val="32"/>
        </w:rPr>
        <w:t>三、《支出决算表》</w:t>
      </w:r>
    </w:p>
    <w:p w14:paraId="44E70E77">
      <w:pPr>
        <w:spacing w:line="240" w:lineRule="auto"/>
        <w:rPr>
          <w:rFonts w:ascii="仿宋_GB2312" w:eastAsia="仿宋_GB2312"/>
          <w:sz w:val="32"/>
          <w:szCs w:val="32"/>
        </w:rPr>
      </w:pPr>
      <w:r>
        <w:rPr>
          <w:rFonts w:ascii="仿宋_GB2312" w:eastAsia="仿宋_GB2312"/>
          <w:sz w:val="32"/>
          <w:szCs w:val="32"/>
        </w:rPr>
        <w:t>四、《财政拨款收入支出决算总表》</w:t>
      </w:r>
    </w:p>
    <w:p w14:paraId="2FDE1D44">
      <w:pPr>
        <w:spacing w:line="240" w:lineRule="auto"/>
        <w:rPr>
          <w:rFonts w:ascii="仿宋_GB2312" w:eastAsia="仿宋_GB2312"/>
          <w:sz w:val="32"/>
          <w:szCs w:val="32"/>
        </w:rPr>
      </w:pPr>
      <w:r>
        <w:rPr>
          <w:rFonts w:ascii="仿宋_GB2312" w:eastAsia="仿宋_GB2312"/>
          <w:sz w:val="32"/>
          <w:szCs w:val="32"/>
        </w:rPr>
        <w:t>五、《一般公共预算财政拨款支出决算表》</w:t>
      </w:r>
    </w:p>
    <w:p w14:paraId="7C567B48">
      <w:pPr>
        <w:spacing w:line="240" w:lineRule="auto"/>
        <w:rPr>
          <w:rFonts w:ascii="仿宋_GB2312" w:eastAsia="仿宋_GB2312"/>
          <w:sz w:val="32"/>
          <w:szCs w:val="32"/>
        </w:rPr>
      </w:pPr>
      <w:r>
        <w:rPr>
          <w:rFonts w:ascii="仿宋_GB2312" w:eastAsia="仿宋_GB2312"/>
          <w:sz w:val="32"/>
          <w:szCs w:val="32"/>
        </w:rPr>
        <w:t>六、《一般公共预算财政拨款基本支出决算表》</w:t>
      </w:r>
    </w:p>
    <w:p w14:paraId="03D1E250">
      <w:pPr>
        <w:spacing w:line="240" w:lineRule="auto"/>
        <w:rPr>
          <w:rFonts w:ascii="仿宋_GB2312" w:eastAsia="仿宋_GB2312"/>
          <w:sz w:val="32"/>
          <w:szCs w:val="32"/>
        </w:rPr>
      </w:pPr>
      <w:r>
        <w:rPr>
          <w:rFonts w:ascii="仿宋_GB2312" w:eastAsia="仿宋_GB2312"/>
          <w:sz w:val="32"/>
          <w:szCs w:val="32"/>
        </w:rPr>
        <w:t>七、《政府性基金预算财政拨款收入支出决算表》</w:t>
      </w:r>
    </w:p>
    <w:p w14:paraId="6ED8FA6C">
      <w:pPr>
        <w:spacing w:line="240" w:lineRule="auto"/>
        <w:rPr>
          <w:rFonts w:ascii="仿宋_GB2312" w:eastAsia="仿宋_GB2312"/>
          <w:sz w:val="32"/>
          <w:szCs w:val="32"/>
        </w:rPr>
      </w:pPr>
      <w:r>
        <w:rPr>
          <w:rFonts w:ascii="仿宋_GB2312" w:eastAsia="仿宋_GB2312"/>
          <w:sz w:val="32"/>
          <w:szCs w:val="32"/>
        </w:rPr>
        <w:t>八、《国有资本经营预算财政拨款收入支出决算表》</w:t>
      </w:r>
    </w:p>
    <w:p w14:paraId="1E859DDE">
      <w:pPr>
        <w:spacing w:line="240" w:lineRule="auto"/>
        <w:rPr>
          <w:rFonts w:ascii="仿宋_GB2312" w:eastAsia="仿宋_GB2312"/>
          <w:sz w:val="32"/>
          <w:szCs w:val="32"/>
        </w:rPr>
      </w:pPr>
      <w:r>
        <w:rPr>
          <w:rFonts w:ascii="仿宋_GB2312" w:eastAsia="仿宋_GB2312"/>
          <w:sz w:val="32"/>
          <w:szCs w:val="32"/>
        </w:rPr>
        <w:t>九、《财政拨款“三公”经费支出决算表》</w:t>
      </w:r>
    </w:p>
    <w:p w14:paraId="33A5F462">
      <w:r>
        <w:rPr>
          <w:sz w:val="0"/>
          <w:szCs w:val="0"/>
        </w:rPr>
        <w:br w:type="page"/>
      </w:r>
    </w:p>
    <w:p w14:paraId="58A82DE0">
      <w:pPr>
        <w:spacing w:line="240" w:lineRule="auto"/>
        <w:jc w:val="center"/>
        <w:outlineLvl w:val="0"/>
        <w:rPr>
          <w:rFonts w:ascii="黑体" w:eastAsia="黑体"/>
          <w:sz w:val="32"/>
          <w:szCs w:val="32"/>
        </w:rPr>
      </w:pPr>
      <w:r>
        <w:rPr>
          <w:rFonts w:ascii="黑体" w:eastAsia="黑体"/>
          <w:sz w:val="32"/>
          <w:szCs w:val="32"/>
        </w:rPr>
        <w:t>第一部分单位概况</w:t>
      </w:r>
    </w:p>
    <w:p w14:paraId="12BBCC3B">
      <w:pPr>
        <w:widowControl/>
        <w:spacing w:before="0" w:beforeLines="0" w:beforeAutospacing="0" w:after="0" w:afterLines="0" w:afterAutospacing="0" w:line="240" w:lineRule="auto"/>
        <w:ind w:firstLine="640" w:firstLineChars="200"/>
        <w:jc w:val="left"/>
        <w:outlineLvl w:val="1"/>
        <w:rPr>
          <w:rFonts w:ascii="黑体" w:eastAsia="黑体"/>
          <w:b w:val="0"/>
          <w:sz w:val="32"/>
          <w:szCs w:val="32"/>
        </w:rPr>
      </w:pPr>
      <w:r>
        <w:rPr>
          <w:rFonts w:ascii="黑体" w:eastAsia="黑体"/>
          <w:b w:val="0"/>
          <w:sz w:val="32"/>
          <w:szCs w:val="32"/>
        </w:rPr>
        <w:t>一、主要职能</w:t>
      </w:r>
    </w:p>
    <w:p w14:paraId="6E83D1E6">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面向体育运动训练实际，研究运动营养、康复等课题；承担自治区体育运动领域科学理论研究工作；为体育运动领域违禁药物检验检测提供技术支持服务。认真贯彻落实国家体育总局各项政策方针，普及健身知识，宣传健身效果，弘扬健康新理念，把身心健康作为个人全面发展和适应社会的重要能力，树立以参与体育健身、拥有强健体魄为荣的个人发展理念，营造良好舆论氛围，通过体育健身提高个人的团队协作能力。强调了竞技体育所表现的积极进取、诚实守信、规则至上、团结友爱、健康自然的精神和理念，体现了和谐社会的目标追求与价值导向，是培养人们公平竞争、团结协作和克服困难的精神与观念，促进人的全面发展，形成健康、科学的生活方式，创造文明、和谐的社会环境的有效途径，也是促进全民健身运动，推动体育产业发展的重要手段。《体育时空》《新疆体育》（维文）《新疆体育工作》（内部资料）三个刊物，紧紧围绕国家体育总局、自治区新闻出版局、自治区体育局党组的部署，大力宣传运动项目文化，弘扬奥林匹克精神和中华体育精神，挖掘传承传统体育文化，发挥区域特色文化遗产的作用。始终将体育理论宣传与实践报道工作紧密联系起来。在工作中贯彻“贴近群众、贴近社会、贴近读者”的原则，将正确的舆论导向贯彻落实到新闻采编的各个岗位和各个环节，进一步推动基层体育工作发展，努力服务好竞技体育、群众体育、青少年体育、体育产业工作，积极弘扬体育精神，传达政策信息，指导基层工作，搭建交流体育经验信息的平台。树立全民健身榜样，讲述全民健身故事，传播社会正能量，发挥体育文化在践行社会主义核心价值观、弘扬中华民族</w:t>
      </w:r>
      <w:bookmarkStart w:id="0" w:name="_GoBack"/>
      <w:bookmarkEnd w:id="0"/>
      <w:r>
        <w:rPr>
          <w:rFonts w:ascii="仿宋_GB2312" w:eastAsia="仿宋_GB2312"/>
          <w:b w:val="0"/>
          <w:sz w:val="32"/>
          <w:szCs w:val="32"/>
        </w:rPr>
        <w:t>传统美德、传承人类优秀文明成果和提升国家软实力等方面的独特价值和作用。</w:t>
      </w:r>
    </w:p>
    <w:p w14:paraId="10590D17">
      <w:pPr>
        <w:widowControl/>
        <w:spacing w:before="0" w:beforeLines="0" w:beforeAutospacing="0" w:after="0" w:afterLines="0" w:afterAutospacing="0" w:line="240" w:lineRule="auto"/>
        <w:ind w:firstLine="640" w:firstLineChars="200"/>
        <w:jc w:val="left"/>
        <w:outlineLvl w:val="1"/>
        <w:rPr>
          <w:rFonts w:ascii="黑体" w:eastAsia="黑体"/>
          <w:b w:val="0"/>
          <w:sz w:val="32"/>
          <w:szCs w:val="32"/>
        </w:rPr>
      </w:pPr>
      <w:r>
        <w:rPr>
          <w:rFonts w:ascii="黑体" w:eastAsia="黑体"/>
          <w:b w:val="0"/>
          <w:sz w:val="32"/>
          <w:szCs w:val="32"/>
        </w:rPr>
        <w:t>二、机构设置</w:t>
      </w:r>
    </w:p>
    <w:p w14:paraId="25F2CA12">
      <w:pPr>
        <w:spacing w:line="240" w:lineRule="auto"/>
        <w:ind w:firstLine="640" w:firstLineChars="200"/>
        <w:jc w:val="both"/>
        <w:rPr>
          <w:rFonts w:ascii="仿宋_GB2312" w:eastAsia="仿宋_GB2312"/>
          <w:sz w:val="32"/>
          <w:szCs w:val="32"/>
        </w:rPr>
      </w:pPr>
      <w:r>
        <w:rPr>
          <w:rFonts w:ascii="仿宋_GB2312" w:eastAsia="仿宋_GB2312"/>
          <w:sz w:val="32"/>
          <w:szCs w:val="32"/>
        </w:rPr>
        <w:t>新疆维吾尔自治区体育科研中心（新疆维吾尔自治区反兴奋剂中心）无下属预算单位。</w:t>
      </w:r>
    </w:p>
    <w:p w14:paraId="372F598B">
      <w:r>
        <w:rPr>
          <w:sz w:val="0"/>
          <w:szCs w:val="0"/>
        </w:rPr>
        <w:br w:type="page"/>
      </w:r>
    </w:p>
    <w:p w14:paraId="41F4D279">
      <w:pPr>
        <w:spacing w:line="240" w:lineRule="auto"/>
        <w:jc w:val="center"/>
        <w:outlineLvl w:val="0"/>
        <w:rPr>
          <w:rFonts w:ascii="黑体" w:eastAsia="黑体"/>
          <w:sz w:val="32"/>
          <w:szCs w:val="32"/>
        </w:rPr>
      </w:pPr>
      <w:r>
        <w:rPr>
          <w:rFonts w:ascii="黑体" w:eastAsia="黑体"/>
          <w:sz w:val="32"/>
          <w:szCs w:val="32"/>
        </w:rPr>
        <w:t>第二部分 部门决算情况说明</w:t>
      </w:r>
    </w:p>
    <w:p w14:paraId="5343B75F">
      <w:pPr>
        <w:widowControl/>
        <w:spacing w:before="0" w:beforeLines="0" w:beforeAutospacing="0" w:after="0" w:afterLines="0" w:afterAutospacing="0" w:line="240" w:lineRule="auto"/>
        <w:ind w:firstLine="640" w:firstLineChars="200"/>
        <w:jc w:val="left"/>
        <w:outlineLvl w:val="1"/>
        <w:rPr>
          <w:rFonts w:ascii="黑体" w:eastAsia="黑体"/>
          <w:b w:val="0"/>
          <w:sz w:val="32"/>
          <w:szCs w:val="32"/>
        </w:rPr>
      </w:pPr>
      <w:r>
        <w:rPr>
          <w:rFonts w:ascii="黑体" w:eastAsia="黑体"/>
          <w:b w:val="0"/>
          <w:sz w:val="32"/>
          <w:szCs w:val="32"/>
        </w:rPr>
        <w:t>一、收入支出决算总体情况说明</w:t>
      </w:r>
    </w:p>
    <w:p w14:paraId="719BBCFB">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2025年度收入总计1,096.01万元，其中：本年收入合计1,010.46万元，使用非财政拨款结余（含专用结余）0.00万元，年初结转和结余85.54万元。</w:t>
      </w:r>
    </w:p>
    <w:p w14:paraId="148252DA">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2025年度支出总计1,096.01万元，其中：本年支出合计979.61万元，结余分配0.00万元，年末结转和结余116.40万元。</w:t>
      </w:r>
    </w:p>
    <w:p w14:paraId="131B03B9">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收入支出总体与上年相比，增加91.11万元，增长9.07%，主要原因是：一是人员调动在职人员增加3名，工资、社保、公积金等相关人员经费增加；二是科研业务费项目、第十五届全国运动会新疆代表团获奖运动员项目经费、教练员和有关单位奖励项目经费增加。</w:t>
      </w:r>
    </w:p>
    <w:p w14:paraId="563158A0">
      <w:pPr>
        <w:widowControl/>
        <w:spacing w:before="0" w:beforeLines="0" w:beforeAutospacing="0" w:after="0" w:afterLines="0" w:afterAutospacing="0" w:line="240" w:lineRule="auto"/>
        <w:ind w:firstLine="640" w:firstLineChars="200"/>
        <w:jc w:val="left"/>
        <w:outlineLvl w:val="1"/>
        <w:rPr>
          <w:rFonts w:ascii="黑体" w:eastAsia="黑体"/>
          <w:b w:val="0"/>
          <w:sz w:val="32"/>
          <w:szCs w:val="32"/>
        </w:rPr>
      </w:pPr>
      <w:r>
        <w:rPr>
          <w:rFonts w:ascii="黑体" w:eastAsia="黑体"/>
          <w:b w:val="0"/>
          <w:sz w:val="32"/>
          <w:szCs w:val="32"/>
        </w:rPr>
        <w:t>二、收入决算情况说明</w:t>
      </w:r>
    </w:p>
    <w:p w14:paraId="50ADB139">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本年收入1,010.46万元，其中：财政拨款收入932.21万元,占92.26%；上级补助收入0.00万元,占0.00%；事业收入0.00万元，占0.00%；经营收入0.00万元,占0.00%；附属单位上缴收入0.00万元，占0.00%；其他收入78.25万元，占7.74%。</w:t>
      </w:r>
    </w:p>
    <w:p w14:paraId="377E8C85">
      <w:pPr>
        <w:widowControl/>
        <w:spacing w:before="0" w:beforeLines="0" w:beforeAutospacing="0" w:after="0" w:afterLines="0" w:afterAutospacing="0" w:line="240" w:lineRule="auto"/>
        <w:ind w:firstLine="640" w:firstLineChars="200"/>
        <w:jc w:val="left"/>
        <w:outlineLvl w:val="1"/>
        <w:rPr>
          <w:rFonts w:ascii="黑体" w:eastAsia="黑体"/>
          <w:b w:val="0"/>
          <w:sz w:val="32"/>
          <w:szCs w:val="32"/>
        </w:rPr>
      </w:pPr>
      <w:r>
        <w:rPr>
          <w:rFonts w:ascii="黑体" w:eastAsia="黑体"/>
          <w:b w:val="0"/>
          <w:sz w:val="32"/>
          <w:szCs w:val="32"/>
        </w:rPr>
        <w:t>三、支出决算情况说明</w:t>
      </w:r>
    </w:p>
    <w:p w14:paraId="27D7615D">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本年支出979.61万元，其中：基本支出561.00万元，占57.27%；项目支出418.61万元，占42.73%；上缴上级支出0.00万元，占0.00%；经营支出0.00万元，占0.00%；对附属单位补助支出0.00万元，占0.00%。</w:t>
      </w:r>
    </w:p>
    <w:p w14:paraId="7312ECB6">
      <w:pPr>
        <w:widowControl/>
        <w:spacing w:before="0" w:beforeLines="0" w:beforeAutospacing="0" w:after="0" w:afterLines="0" w:afterAutospacing="0" w:line="240" w:lineRule="auto"/>
        <w:ind w:firstLine="640" w:firstLineChars="200"/>
        <w:jc w:val="left"/>
        <w:outlineLvl w:val="1"/>
        <w:rPr>
          <w:rFonts w:ascii="黑体" w:eastAsia="黑体"/>
          <w:b w:val="0"/>
          <w:sz w:val="32"/>
          <w:szCs w:val="32"/>
        </w:rPr>
      </w:pPr>
      <w:r>
        <w:rPr>
          <w:rFonts w:ascii="黑体" w:eastAsia="黑体"/>
          <w:b w:val="0"/>
          <w:sz w:val="32"/>
          <w:szCs w:val="32"/>
        </w:rPr>
        <w:t>四、财政拨款收入支出决算总体情况说明</w:t>
      </w:r>
    </w:p>
    <w:p w14:paraId="0035C0D5">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2025年度财政拨款收入总计932.21万元，其中：年初财政拨款结转和结余0.00万元，本年财政拨款收入932.21万元。财政拨款支出总计932.21万元，其中：年末财政拨款结转和结余0.00万元，本年财政拨款支出932.21万元。</w:t>
      </w:r>
    </w:p>
    <w:p w14:paraId="1F3FEF74">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财政拨款收入支出总体与上年相比，增加30.06万元，增长3.33%，主要原因是：一是人员调动在职人员增加3名，工资、社保、公积金等相关人员经费增加；二是科研业务费项目、第十五届全国运动会新疆代表团获奖运动员项目经费、教练员和有关单位奖励项目经费增加。与年初预算相比，年初预算数1,753.34万元，决算数932.21万元，预决算差异率-46.83%，主要原因是：较预算减少体育数字平台建设项目资金、2025年国民体质监测数据采集和健身指导项目资金，导致预决算存在差异。</w:t>
      </w:r>
    </w:p>
    <w:p w14:paraId="7B691993">
      <w:pPr>
        <w:widowControl/>
        <w:spacing w:before="0" w:beforeLines="0" w:beforeAutospacing="0" w:after="0" w:afterLines="0" w:afterAutospacing="0" w:line="240" w:lineRule="auto"/>
        <w:ind w:firstLine="640" w:firstLineChars="200"/>
        <w:jc w:val="left"/>
        <w:outlineLvl w:val="1"/>
        <w:rPr>
          <w:rFonts w:ascii="黑体" w:eastAsia="黑体"/>
          <w:b w:val="0"/>
          <w:sz w:val="32"/>
          <w:szCs w:val="32"/>
        </w:rPr>
      </w:pPr>
      <w:r>
        <w:rPr>
          <w:rFonts w:ascii="黑体" w:eastAsia="黑体"/>
          <w:b w:val="0"/>
          <w:sz w:val="32"/>
          <w:szCs w:val="32"/>
        </w:rPr>
        <w:t>五、一般公共预算财政拨款支出决算情况说明</w:t>
      </w:r>
    </w:p>
    <w:p w14:paraId="236C4B26">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按照党中央、国务院关于党政机关习惯过紧日子的有关要求，厉行节约办一切事业，严控一般性支出。同时坚持有保有压，优化支出结构，提高资金使用效率，合理保障机构运行、事业发展、公共服务等重点支出，体现在有关支出科目中。</w:t>
      </w:r>
    </w:p>
    <w:p w14:paraId="67A272B2">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按照支出功能分类，科学技术支出（类）应用研究（款）机构运行（项）的支出占本年财政拨款支出总额的比重最高，2025年度决算数为557.78万元，占比59.83%，主要用于人员工资福利、日常公用经费。</w:t>
      </w:r>
    </w:p>
    <w:p w14:paraId="16E340AF">
      <w:pPr>
        <w:widowControl/>
        <w:spacing w:before="0" w:beforeLines="0" w:beforeAutospacing="0" w:after="0" w:afterLines="0" w:afterAutospacing="0" w:line="240" w:lineRule="auto"/>
        <w:ind w:firstLine="640" w:firstLineChars="200"/>
        <w:jc w:val="both"/>
        <w:outlineLvl w:val="2"/>
        <w:rPr>
          <w:rFonts w:ascii="黑体" w:eastAsia="黑体"/>
          <w:b w:val="0"/>
          <w:sz w:val="32"/>
          <w:szCs w:val="32"/>
        </w:rPr>
      </w:pPr>
      <w:r>
        <w:rPr>
          <w:rFonts w:ascii="黑体" w:eastAsia="黑体"/>
          <w:b w:val="0"/>
          <w:sz w:val="32"/>
          <w:szCs w:val="32"/>
        </w:rPr>
        <w:t>（一）一般公共预算财政拨款支出决算总体情况</w:t>
      </w:r>
    </w:p>
    <w:p w14:paraId="796E7681">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2025年度一般公共预算财政拨款支出613.28万元，占本年支出合计的62.60%。与上年相比，增加112.18万元，增长22.39%，主要原因是：本年在职人员增加，在职人员工资调增、社保、公积金基数调增，人员经费增加。与年初预算相比，年初预算数479.06万元，决算数613.28万元，预决算差异率28.02%，主要原因是：本年在职人员增加，年中追加人员经费及人员工资、社保、公积金基数调增部分资金，导致预决算存在差异。</w:t>
      </w:r>
    </w:p>
    <w:p w14:paraId="6C3CAAD8">
      <w:pPr>
        <w:widowControl/>
        <w:spacing w:before="0" w:beforeLines="0" w:beforeAutospacing="0" w:after="0" w:afterLines="0" w:afterAutospacing="0" w:line="240" w:lineRule="auto"/>
        <w:ind w:firstLine="640" w:firstLineChars="200"/>
        <w:jc w:val="both"/>
        <w:outlineLvl w:val="2"/>
        <w:rPr>
          <w:rFonts w:ascii="黑体" w:eastAsia="黑体"/>
          <w:b w:val="0"/>
          <w:sz w:val="32"/>
          <w:szCs w:val="32"/>
        </w:rPr>
      </w:pPr>
      <w:r>
        <w:rPr>
          <w:rFonts w:ascii="黑体" w:eastAsia="黑体"/>
          <w:b w:val="0"/>
          <w:sz w:val="32"/>
          <w:szCs w:val="32"/>
        </w:rPr>
        <w:t>（二）一般公共预算财政拨款支出决算结构情况</w:t>
      </w:r>
    </w:p>
    <w:p w14:paraId="654344C6">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1.科学技术支出（类）557.78万元，占90.95%。</w:t>
      </w:r>
    </w:p>
    <w:p w14:paraId="5E826279">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2.文化旅游体育与传媒支出（类）55.50万元，占9.05%。</w:t>
      </w:r>
    </w:p>
    <w:p w14:paraId="46C154F6">
      <w:pPr>
        <w:widowControl/>
        <w:spacing w:before="0" w:beforeLines="0" w:beforeAutospacing="0" w:after="0" w:afterLines="0" w:afterAutospacing="0" w:line="240" w:lineRule="auto"/>
        <w:ind w:firstLine="640" w:firstLineChars="200"/>
        <w:jc w:val="both"/>
        <w:outlineLvl w:val="2"/>
        <w:rPr>
          <w:rFonts w:ascii="黑体" w:eastAsia="黑体"/>
          <w:b w:val="0"/>
          <w:sz w:val="32"/>
          <w:szCs w:val="32"/>
        </w:rPr>
      </w:pPr>
      <w:r>
        <w:rPr>
          <w:rFonts w:ascii="黑体" w:eastAsia="黑体"/>
          <w:b w:val="0"/>
          <w:sz w:val="32"/>
          <w:szCs w:val="32"/>
        </w:rPr>
        <w:t>（三）一般公共预算财政拨款支出决算具体情况</w:t>
      </w:r>
    </w:p>
    <w:p w14:paraId="298D4E4D">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hint="eastAsia" w:ascii="仿宋_GB2312" w:eastAsia="仿宋_GB2312"/>
          <w:b w:val="0"/>
          <w:sz w:val="32"/>
          <w:szCs w:val="32"/>
          <w:lang w:eastAsia="zh-CN"/>
        </w:rPr>
        <w:t>1.</w:t>
      </w:r>
      <w:r>
        <w:rPr>
          <w:rFonts w:ascii="仿宋_GB2312" w:eastAsia="仿宋_GB2312"/>
          <w:b w:val="0"/>
          <w:sz w:val="32"/>
          <w:szCs w:val="32"/>
        </w:rPr>
        <w:t>科学技术支出（类）应用研究（款）机构运行（项）：支出决算数为557.78万元，比上年决算增加56.68万元，增长11.31%，主要原因是：人员调动，在职人员增加3名，相应人员经费增加。</w:t>
      </w:r>
    </w:p>
    <w:p w14:paraId="192E47DB">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hint="eastAsia" w:ascii="仿宋_GB2312" w:eastAsia="仿宋_GB2312"/>
          <w:b w:val="0"/>
          <w:sz w:val="32"/>
          <w:szCs w:val="32"/>
          <w:lang w:eastAsia="zh-CN"/>
        </w:rPr>
        <w:t>2.</w:t>
      </w:r>
      <w:r>
        <w:rPr>
          <w:rFonts w:ascii="仿宋_GB2312" w:eastAsia="仿宋_GB2312"/>
          <w:b w:val="0"/>
          <w:sz w:val="32"/>
          <w:szCs w:val="32"/>
        </w:rPr>
        <w:t>文化旅游体育与传媒支出（类）体育（款）体育竞赛（项）：支出决算数为55.50万元，比上年决算增加55.50万元，增长100.00%，主要原因是：较上年增加第十五届全国运动会新疆代表团获奖运动员、教练员和有关单位奖励经费。</w:t>
      </w:r>
    </w:p>
    <w:p w14:paraId="19A4F7A0">
      <w:pPr>
        <w:widowControl/>
        <w:spacing w:before="0" w:beforeLines="0" w:beforeAutospacing="0" w:after="0" w:afterLines="0" w:afterAutospacing="0" w:line="240" w:lineRule="auto"/>
        <w:ind w:firstLine="640" w:firstLineChars="200"/>
        <w:jc w:val="left"/>
        <w:outlineLvl w:val="1"/>
        <w:rPr>
          <w:rFonts w:ascii="黑体" w:eastAsia="黑体"/>
          <w:b w:val="0"/>
          <w:sz w:val="32"/>
          <w:szCs w:val="32"/>
        </w:rPr>
      </w:pPr>
      <w:r>
        <w:rPr>
          <w:rFonts w:ascii="黑体" w:eastAsia="黑体"/>
          <w:b w:val="0"/>
          <w:sz w:val="32"/>
          <w:szCs w:val="32"/>
        </w:rPr>
        <w:t>六、一般公共预算财政拨款基本支出决算情况说明</w:t>
      </w:r>
    </w:p>
    <w:p w14:paraId="12503AEA">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2025年度一般公共预算财政拨款基本支出557.78万元，其中：人员经费533.04万元，包括：基本工资、津贴补贴、奖金、绩效工资、机关事业单位基本养老保险缴费、职业年金缴费、职工基本医疗保险缴费、公务员医疗补助缴费、其他社会保障缴费、住房公积金、医疗费和退休费。</w:t>
      </w:r>
    </w:p>
    <w:p w14:paraId="29A6260F">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公用经费24.74万元，包括：办公费、水费、邮电费、差旅费、工会经费、福利费、公务用车运行维护费和其他商品和服务支出。</w:t>
      </w:r>
    </w:p>
    <w:p w14:paraId="47C22386">
      <w:pPr>
        <w:widowControl/>
        <w:spacing w:before="0" w:beforeLines="0" w:beforeAutospacing="0" w:after="0" w:afterLines="0" w:afterAutospacing="0" w:line="240" w:lineRule="auto"/>
        <w:ind w:firstLine="640" w:firstLineChars="200"/>
        <w:jc w:val="left"/>
        <w:outlineLvl w:val="1"/>
        <w:rPr>
          <w:rFonts w:ascii="黑体" w:eastAsia="黑体"/>
          <w:b w:val="0"/>
          <w:sz w:val="32"/>
          <w:szCs w:val="32"/>
        </w:rPr>
      </w:pPr>
      <w:r>
        <w:rPr>
          <w:rFonts w:ascii="黑体" w:eastAsia="黑体"/>
          <w:b w:val="0"/>
          <w:sz w:val="32"/>
          <w:szCs w:val="32"/>
        </w:rPr>
        <w:t>七、政府性基金预算财政拨款收入支出决算情况说明</w:t>
      </w:r>
    </w:p>
    <w:p w14:paraId="61168936">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按照党中央、国务院关于党政机关习惯过紧日子的有关要求，厉行节约办一切事业，严控一般性支出。同时坚持有保有压，优化支出结构，提高资金使用效率，合理保障运动队科研服务保障、国民体质监测数据采集、体育数字平台建设等重点支出，体现在有关支出科目中。</w:t>
      </w:r>
    </w:p>
    <w:p w14:paraId="678B30C7">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2025年度政府性基金预算财政拨款收入总计318.93万元，其中：年初结转和结余0.00万元，本年收入318.93万元。政府性基金预算财政拨款支出总计318.93万元，其中：年末结转和结余0.00万元，本年支出318.93万元。</w:t>
      </w:r>
    </w:p>
    <w:p w14:paraId="5632A28F">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政府性基金预算财政拨款收入支出总体与上年相比，减少82.12万元，下降20.48%，主要原因是：较上年减少重点实验室建设项目资金。与年初预算相比，年初预算数1,274.29万元，决算数318.93万元，预决算差异率-74.97%，主要原因是：较预算减少体育数字平台建设项目资金、国民体质监测数据采集和健身指导项目资金，导致预决算存在差异。</w:t>
      </w:r>
    </w:p>
    <w:p w14:paraId="6F75503C">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政府性基金预算财政拨款本年支出318.93万元。具体情况如下：</w:t>
      </w:r>
    </w:p>
    <w:p w14:paraId="69C7DAF4">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hint="eastAsia" w:ascii="仿宋_GB2312" w:eastAsia="仿宋_GB2312"/>
          <w:b w:val="0"/>
          <w:sz w:val="32"/>
          <w:szCs w:val="32"/>
          <w:lang w:eastAsia="zh-CN"/>
        </w:rPr>
        <w:t>1.</w:t>
      </w:r>
      <w:r>
        <w:rPr>
          <w:rFonts w:ascii="仿宋_GB2312" w:eastAsia="仿宋_GB2312"/>
          <w:b w:val="0"/>
          <w:sz w:val="32"/>
          <w:szCs w:val="32"/>
        </w:rPr>
        <w:t>其他支出（类）彩票公益金安排的支出（款）用于体育事业的彩票公益金支出（项）：支出决算数为318.93万元，比上年决算减少82.12万元，下降20.48%，主要原因是：较上年减少重点实验室建设项目资金。</w:t>
      </w:r>
    </w:p>
    <w:p w14:paraId="71F69CEA">
      <w:pPr>
        <w:widowControl/>
        <w:spacing w:before="0" w:beforeLines="0" w:beforeAutospacing="0" w:after="0" w:afterLines="0" w:afterAutospacing="0" w:line="240" w:lineRule="auto"/>
        <w:ind w:firstLine="640" w:firstLineChars="200"/>
        <w:jc w:val="left"/>
        <w:outlineLvl w:val="1"/>
        <w:rPr>
          <w:rFonts w:ascii="黑体" w:eastAsia="黑体"/>
          <w:b w:val="0"/>
          <w:sz w:val="32"/>
          <w:szCs w:val="32"/>
        </w:rPr>
      </w:pPr>
      <w:r>
        <w:rPr>
          <w:rFonts w:ascii="黑体" w:eastAsia="黑体"/>
          <w:b w:val="0"/>
          <w:sz w:val="32"/>
          <w:szCs w:val="32"/>
        </w:rPr>
        <w:t>八、国有资本经营预算财政拨款收入支出决算情况说明</w:t>
      </w:r>
    </w:p>
    <w:p w14:paraId="3F641D98">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14:paraId="662DF283">
      <w:pPr>
        <w:widowControl/>
        <w:spacing w:before="0" w:beforeLines="0" w:beforeAutospacing="0" w:after="0" w:afterLines="0" w:afterAutospacing="0" w:line="240" w:lineRule="auto"/>
        <w:ind w:firstLine="640" w:firstLineChars="200"/>
        <w:jc w:val="left"/>
        <w:outlineLvl w:val="1"/>
        <w:rPr>
          <w:rFonts w:ascii="黑体" w:eastAsia="黑体"/>
          <w:b w:val="0"/>
          <w:sz w:val="32"/>
          <w:szCs w:val="32"/>
        </w:rPr>
      </w:pPr>
      <w:r>
        <w:rPr>
          <w:rFonts w:ascii="黑体" w:eastAsia="黑体"/>
          <w:b w:val="0"/>
          <w:sz w:val="32"/>
          <w:szCs w:val="32"/>
        </w:rPr>
        <w:t>九、财政拨款“三公”经费支出决算情况说明</w:t>
      </w:r>
    </w:p>
    <w:p w14:paraId="48ADA16B">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2025年度财政拨款“三公”经费支出1.43万元，比上年增加0.10万元，增长7.52%，主要原因是：车辆运行次数增加，车辆燃油费、维修维护费较上年增加。其中：因公出国（境）费用支出0.00万元,占0.00%，与上年相比无变化，主要原因是：2024年与2025年均无因公出国（境）费用支出；公务用车购置及运行维护费支出1.43万元，占100.00%，比上年增加0.10万元，增长7.52%，主要原因是：车辆运行次数增加，车辆燃油费、维修维护费较上年增加；公务接待费支出0.00万元，占0.00%，与上年相比无变化，主要原因是：2024年与2025年均无公务接待费。</w:t>
      </w:r>
    </w:p>
    <w:p w14:paraId="24F445BB">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具体情况如下：</w:t>
      </w:r>
    </w:p>
    <w:p w14:paraId="74FF039C">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因公出国（境）费用0.00万元，开支内容包括</w:t>
      </w:r>
      <w:r>
        <w:rPr>
          <w:rFonts w:hint="eastAsia" w:ascii="仿宋_GB2312" w:eastAsia="仿宋_GB2312"/>
          <w:b w:val="0"/>
          <w:sz w:val="32"/>
          <w:szCs w:val="32"/>
          <w:lang w:eastAsia="zh-CN"/>
        </w:rPr>
        <w:t>本单位</w:t>
      </w:r>
      <w:r>
        <w:rPr>
          <w:rFonts w:ascii="仿宋_GB2312" w:eastAsia="仿宋_GB2312"/>
          <w:b w:val="0"/>
          <w:sz w:val="32"/>
          <w:szCs w:val="32"/>
        </w:rPr>
        <w:t>无因公出国（境）费。单位全年安排的因公出国（境）团组0个，因公出国（境）0人次。</w:t>
      </w:r>
    </w:p>
    <w:p w14:paraId="51322B89">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公务用车购置及运行维护费1.43万元，其中：公务用车购置费0.00万元，公务用车运行维护费1.43万元。公务用车运行维护费开支内容包括公务用车燃油费、车辆维修维护费、保险费、过路费等。公务用车购置数0辆，公务用车保有量4辆。国有资产占用情况中固定资产车辆4辆，与公务用车保有量差异原因是：本单位公务用车保有量与固定资产车辆一致无差异。</w:t>
      </w:r>
    </w:p>
    <w:p w14:paraId="7FAB98E3">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公务接待费0.00万元，开支内容包括</w:t>
      </w:r>
      <w:r>
        <w:rPr>
          <w:rFonts w:hint="eastAsia" w:ascii="仿宋_GB2312" w:eastAsia="仿宋_GB2312"/>
          <w:b w:val="0"/>
          <w:sz w:val="32"/>
          <w:szCs w:val="32"/>
          <w:lang w:eastAsia="zh-CN"/>
        </w:rPr>
        <w:t>本单位</w:t>
      </w:r>
      <w:r>
        <w:rPr>
          <w:rFonts w:ascii="仿宋_GB2312" w:eastAsia="仿宋_GB2312"/>
          <w:b w:val="0"/>
          <w:sz w:val="32"/>
          <w:szCs w:val="32"/>
        </w:rPr>
        <w:t>无公务接待费。单位全年安排的国内公务接待0批次，0人次。</w:t>
      </w:r>
    </w:p>
    <w:p w14:paraId="13BD798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1.43万元，决算数1.43万元，预决算差异率0.00%，主要原因是：严格按照预算执行，预决算无差异。其中：因公出国（境）费用全年预算数0.00万元，决算数0.00万元，预决算差异率0.00%，主要原因是：</w:t>
      </w:r>
      <w:r>
        <w:rPr>
          <w:rFonts w:hint="eastAsia" w:ascii="仿宋_GB2312" w:eastAsia="仿宋_GB2312"/>
          <w:b w:val="0"/>
          <w:sz w:val="32"/>
          <w:szCs w:val="32"/>
          <w:lang w:eastAsia="zh-CN"/>
        </w:rPr>
        <w:t>本单位</w:t>
      </w:r>
      <w:r>
        <w:rPr>
          <w:rFonts w:ascii="仿宋_GB2312" w:eastAsia="仿宋_GB2312"/>
          <w:b w:val="0"/>
          <w:sz w:val="32"/>
          <w:szCs w:val="32"/>
        </w:rPr>
        <w:t>无因公出国（境）费用；公务用车购置费全年预算数0.00万元，决算数0.00万元，预决算差异率0.00%，主要原因是：</w:t>
      </w:r>
      <w:r>
        <w:rPr>
          <w:rFonts w:hint="eastAsia" w:ascii="仿宋_GB2312" w:eastAsia="仿宋_GB2312"/>
          <w:b w:val="0"/>
          <w:sz w:val="32"/>
          <w:szCs w:val="32"/>
          <w:lang w:eastAsia="zh-CN"/>
        </w:rPr>
        <w:t>本单位</w:t>
      </w:r>
      <w:r>
        <w:rPr>
          <w:rFonts w:ascii="仿宋_GB2312" w:eastAsia="仿宋_GB2312"/>
          <w:b w:val="0"/>
          <w:sz w:val="32"/>
          <w:szCs w:val="32"/>
        </w:rPr>
        <w:t>无公务用车购置费；公务用车运行维护费全年预算数1.43万元，决算数1.43万元，预决算差异率0.00%，主要原因是：严格按照预算执行，预决算无差异；公务接待费全年预算数0.00万元，决算数0.00万元，预决算差异率0.00%，主要原因是：</w:t>
      </w:r>
      <w:r>
        <w:rPr>
          <w:rFonts w:hint="eastAsia" w:ascii="仿宋_GB2312" w:eastAsia="仿宋_GB2312"/>
          <w:b w:val="0"/>
          <w:sz w:val="32"/>
          <w:szCs w:val="32"/>
          <w:lang w:eastAsia="zh-CN"/>
        </w:rPr>
        <w:t>本单位</w:t>
      </w:r>
      <w:r>
        <w:rPr>
          <w:rFonts w:ascii="仿宋_GB2312" w:eastAsia="仿宋_GB2312"/>
          <w:b w:val="0"/>
          <w:sz w:val="32"/>
          <w:szCs w:val="32"/>
        </w:rPr>
        <w:t>无公务接待费。</w:t>
      </w:r>
    </w:p>
    <w:p w14:paraId="59CE32DE">
      <w:pPr>
        <w:widowControl/>
        <w:spacing w:before="0" w:beforeLines="0" w:beforeAutospacing="0" w:after="0" w:afterLines="0" w:afterAutospacing="0" w:line="240" w:lineRule="auto"/>
        <w:ind w:firstLine="640" w:firstLineChars="200"/>
        <w:jc w:val="left"/>
        <w:outlineLvl w:val="1"/>
        <w:rPr>
          <w:rFonts w:ascii="黑体" w:eastAsia="黑体"/>
          <w:b w:val="0"/>
          <w:sz w:val="32"/>
          <w:szCs w:val="32"/>
        </w:rPr>
      </w:pPr>
      <w:r>
        <w:rPr>
          <w:rFonts w:ascii="黑体" w:eastAsia="黑体"/>
          <w:b w:val="0"/>
          <w:sz w:val="32"/>
          <w:szCs w:val="32"/>
        </w:rPr>
        <w:t>十、其他重要事项的情况说明</w:t>
      </w:r>
    </w:p>
    <w:p w14:paraId="6ED4F2A0">
      <w:pPr>
        <w:widowControl/>
        <w:spacing w:before="0" w:beforeLines="0" w:beforeAutospacing="0" w:after="0" w:afterLines="0" w:afterAutospacing="0" w:line="240" w:lineRule="auto"/>
        <w:ind w:firstLine="640" w:firstLineChars="200"/>
        <w:jc w:val="both"/>
        <w:outlineLvl w:val="2"/>
        <w:rPr>
          <w:rFonts w:ascii="黑体" w:eastAsia="黑体"/>
          <w:b w:val="0"/>
          <w:sz w:val="32"/>
          <w:szCs w:val="32"/>
        </w:rPr>
      </w:pPr>
      <w:r>
        <w:rPr>
          <w:rFonts w:ascii="黑体" w:eastAsia="黑体"/>
          <w:b w:val="0"/>
          <w:sz w:val="32"/>
          <w:szCs w:val="32"/>
        </w:rPr>
        <w:t>（一）机关运行经费及公用经费支出情况</w:t>
      </w:r>
    </w:p>
    <w:p w14:paraId="4807094D">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2025年度新疆维吾尔自治区体育科研中心（新疆维吾尔自治区反兴奋剂中心）（事业单位）公用经费支出24.74万元，比上年增加0.94万元，增长3.95%，主要原因是：本年在职人员增加，办公费用增加。</w:t>
      </w:r>
    </w:p>
    <w:p w14:paraId="2E08E143">
      <w:pPr>
        <w:widowControl/>
        <w:spacing w:before="0" w:beforeLines="0" w:beforeAutospacing="0" w:after="0" w:afterLines="0" w:afterAutospacing="0" w:line="240" w:lineRule="auto"/>
        <w:ind w:firstLine="640" w:firstLineChars="200"/>
        <w:jc w:val="both"/>
        <w:outlineLvl w:val="2"/>
        <w:rPr>
          <w:rFonts w:ascii="黑体" w:eastAsia="黑体"/>
          <w:b w:val="0"/>
          <w:sz w:val="32"/>
          <w:szCs w:val="32"/>
        </w:rPr>
      </w:pPr>
      <w:r>
        <w:rPr>
          <w:rFonts w:ascii="黑体" w:eastAsia="黑体"/>
          <w:b w:val="0"/>
          <w:sz w:val="32"/>
          <w:szCs w:val="32"/>
        </w:rPr>
        <w:t>（二）政府采购情况</w:t>
      </w:r>
    </w:p>
    <w:p w14:paraId="3BCDB693">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2025年度政府采购支出总额3.32万元，其中：政府采购货物支出1.60万元、政府采购工程支出0.00万元、政府采购服务支出1.72万元。</w:t>
      </w:r>
    </w:p>
    <w:p w14:paraId="76E7B459">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授予中小企业合同金额1.32万元，占政府采购支出总额的39.76%，其中：授予小微企业合同金额1.32万元，占政府采购支出总额的39.76%。</w:t>
      </w:r>
    </w:p>
    <w:p w14:paraId="656D73DC">
      <w:pPr>
        <w:widowControl/>
        <w:spacing w:before="0" w:beforeLines="0" w:beforeAutospacing="0" w:after="0" w:afterLines="0" w:afterAutospacing="0" w:line="240" w:lineRule="auto"/>
        <w:ind w:firstLine="640" w:firstLineChars="200"/>
        <w:jc w:val="both"/>
        <w:outlineLvl w:val="2"/>
        <w:rPr>
          <w:rFonts w:ascii="黑体" w:eastAsia="黑体"/>
          <w:b w:val="0"/>
          <w:sz w:val="32"/>
          <w:szCs w:val="32"/>
        </w:rPr>
      </w:pPr>
      <w:r>
        <w:rPr>
          <w:rFonts w:ascii="黑体" w:eastAsia="黑体"/>
          <w:b w:val="0"/>
          <w:sz w:val="32"/>
          <w:szCs w:val="32"/>
        </w:rPr>
        <w:t>（三）国有资产占用情况说明</w:t>
      </w:r>
    </w:p>
    <w:p w14:paraId="78AD071A">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截至2025年12月31日，房屋0.00平方米，价值0.00万元。车辆4辆，价值57.82万元，其中：副部（省）级及以上领导用车0辆、主要负责人用车0辆、机要通信用车0辆、应急保障用车0辆、执法执勤用车0辆、特种专业技术用车0辆、离退休干部服务用车0辆、其他用车4辆，其他用车主要是：公务用车;单价100万元（含）以上设备（不含车辆）2台（套）。</w:t>
      </w:r>
    </w:p>
    <w:p w14:paraId="4CFCFF24">
      <w:pPr>
        <w:widowControl/>
        <w:spacing w:before="0" w:beforeLines="0" w:beforeAutospacing="0" w:after="0" w:afterLines="0" w:afterAutospacing="0" w:line="240" w:lineRule="auto"/>
        <w:ind w:firstLine="640" w:firstLineChars="200"/>
        <w:jc w:val="left"/>
        <w:outlineLvl w:val="1"/>
        <w:rPr>
          <w:rFonts w:ascii="黑体" w:eastAsia="黑体"/>
          <w:b w:val="0"/>
          <w:sz w:val="32"/>
          <w:szCs w:val="32"/>
        </w:rPr>
      </w:pPr>
      <w:r>
        <w:rPr>
          <w:rFonts w:ascii="黑体" w:eastAsia="黑体"/>
          <w:b w:val="0"/>
          <w:sz w:val="32"/>
          <w:szCs w:val="32"/>
        </w:rPr>
        <w:t>十一、预算绩效的情况说明</w:t>
      </w:r>
    </w:p>
    <w:p w14:paraId="6863BDB1">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根据预算绩效管理要求，本单位预算绩效评价项目3个，全年预算数455.5</w:t>
      </w:r>
      <w:r>
        <w:rPr>
          <w:rFonts w:hint="eastAsia" w:ascii="仿宋_GB2312" w:eastAsia="仿宋_GB2312"/>
          <w:b w:val="0"/>
          <w:sz w:val="32"/>
          <w:szCs w:val="32"/>
          <w:lang w:val="en-US" w:eastAsia="zh-CN"/>
        </w:rPr>
        <w:t>0</w:t>
      </w:r>
      <w:r>
        <w:rPr>
          <w:rFonts w:ascii="仿宋_GB2312" w:eastAsia="仿宋_GB2312"/>
          <w:b w:val="0"/>
          <w:sz w:val="32"/>
          <w:szCs w:val="32"/>
        </w:rPr>
        <w:t>万元，全年执行数455.5</w:t>
      </w:r>
      <w:r>
        <w:rPr>
          <w:rFonts w:hint="eastAsia" w:ascii="仿宋_GB2312" w:eastAsia="仿宋_GB2312"/>
          <w:b w:val="0"/>
          <w:sz w:val="32"/>
          <w:szCs w:val="32"/>
          <w:lang w:val="en-US" w:eastAsia="zh-CN"/>
        </w:rPr>
        <w:t>0</w:t>
      </w:r>
      <w:r>
        <w:rPr>
          <w:rFonts w:ascii="仿宋_GB2312" w:eastAsia="仿宋_GB2312"/>
          <w:b w:val="0"/>
          <w:sz w:val="32"/>
          <w:szCs w:val="32"/>
        </w:rPr>
        <w:t>万元。预算绩效管理取得的成效：一是一是通过常态化保障运动队训练比赛状态，重点做好运动队科技服务保障。针对拳击队等队伍开展了技术统计、体能测试等工作；针对射击、射箭、拳击等项目开展了包括心理咨询、认知调节、注意力训练、讲授心理课程等内容的心理科技服务；针对拳击、射箭等队伍开展了运动视觉测试。助力各运动队在国内外大赛中取得了较好的成绩；二是通过开展反兴奋剂宣教、检查、培训等工作，圆满完成了反兴奋剂年度工作任务。发现的问题及原因：一是立项前期准备不充分；二是项目缺乏有效动态监管机制；三是由于缺乏绩效工作经验，年初绩效指标编制不精确。下一步改进措施：项目决策时，从单位实际情况出发，在充分了解项目相关基本情况的基础上，对项目进行决策。具体附整体支出绩效自评表、项目支出绩效自评表及项目支出绩效评价报告。</w:t>
      </w:r>
    </w:p>
    <w:p w14:paraId="3C048530">
      <w:pPr>
        <w:widowControl/>
        <w:spacing w:before="0" w:beforeLines="0" w:beforeAutospacing="0" w:after="0" w:afterLines="0" w:afterAutospacing="0" w:line="240" w:lineRule="auto"/>
        <w:ind w:firstLine="640" w:firstLineChars="200"/>
        <w:jc w:val="left"/>
        <w:outlineLvl w:val="1"/>
        <w:rPr>
          <w:rFonts w:ascii="黑体" w:eastAsia="黑体"/>
          <w:b w:val="0"/>
          <w:sz w:val="32"/>
          <w:szCs w:val="32"/>
        </w:rPr>
      </w:pPr>
      <w:r>
        <w:rPr>
          <w:rFonts w:ascii="黑体" w:eastAsia="黑体"/>
          <w:b w:val="0"/>
          <w:sz w:val="32"/>
          <w:szCs w:val="32"/>
        </w:rPr>
        <w:t>十二、其他需说明的事项</w:t>
      </w:r>
    </w:p>
    <w:p w14:paraId="5A67EF27">
      <w:pPr>
        <w:keepNext w:val="0"/>
        <w:keepLines w:val="0"/>
        <w:pageBreakBefore w:val="0"/>
        <w:widowControl/>
        <w:kinsoku/>
        <w:wordWrap/>
        <w:overflowPunct/>
        <w:topLinePunct w:val="0"/>
        <w:autoSpaceDE/>
        <w:autoSpaceDN/>
        <w:bidi w:val="0"/>
        <w:adjustRightInd/>
        <w:snapToGrid/>
        <w:spacing w:line="240" w:lineRule="auto"/>
        <w:ind w:firstLine="640" w:firstLineChars="200"/>
        <w:jc w:val="both"/>
        <w:textAlignment w:val="auto"/>
        <w:rPr>
          <w:rFonts w:ascii="仿宋_GB2312" w:eastAsia="仿宋_GB2312"/>
          <w:sz w:val="32"/>
          <w:szCs w:val="32"/>
        </w:rPr>
      </w:pPr>
      <w:r>
        <w:rPr>
          <w:rFonts w:ascii="仿宋_GB2312" w:eastAsia="仿宋_GB2312"/>
          <w:sz w:val="32"/>
          <w:szCs w:val="32"/>
        </w:rPr>
        <w:t>本单位无其他需说明的事项。</w:t>
      </w:r>
    </w:p>
    <w:p w14:paraId="2AF97AE9">
      <w:pPr>
        <w:rPr>
          <w:rFonts w:ascii="仿宋_GB2312" w:eastAsia="仿宋_GB2312"/>
          <w:sz w:val="32"/>
          <w:szCs w:val="32"/>
        </w:rPr>
      </w:pPr>
      <w:r>
        <w:rPr>
          <w:rFonts w:ascii="仿宋_GB2312" w:eastAsia="仿宋_GB2312"/>
          <w:sz w:val="32"/>
          <w:szCs w:val="32"/>
        </w:rPr>
        <w:br w:type="page"/>
      </w:r>
    </w:p>
    <w:p w14:paraId="2BE5D8AA">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 专业名词解释</w:t>
      </w:r>
    </w:p>
    <w:p w14:paraId="0E8DB07F">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指单位本年度从同级财政部门取得的财政拨款，包括一般公共预算财政拨款、政府性基金预算财政拨款和国有资本经营预算财政拨款。</w:t>
      </w:r>
    </w:p>
    <w:p w14:paraId="6D6A9A03">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14:paraId="31D799D5">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指事业单位开展专业业务活动及其辅助活动取得的收入。</w:t>
      </w:r>
    </w:p>
    <w:p w14:paraId="390A68FE">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14:paraId="0690051E">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指事业单位附属独立核算单位按照有关规定上缴的收入。</w:t>
      </w:r>
    </w:p>
    <w:p w14:paraId="061695EE">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指单位取得的除上述“财政拨款收入”“上级补助收入”“事业收入”“经营收入”“附属单位上缴收入”以外的各项收入。</w:t>
      </w:r>
    </w:p>
    <w:p w14:paraId="662C9A6B">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指单位上年结转本年使用的基本支出结转、项目支出结转和结余、经营结余。</w:t>
      </w:r>
    </w:p>
    <w:p w14:paraId="2992F54F">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八、使用非财政拨款结余（含专用结余）：</w:t>
      </w:r>
      <w:r>
        <w:rPr>
          <w:rFonts w:ascii="仿宋_GB2312" w:eastAsia="仿宋_GB2312"/>
          <w:b w:val="0"/>
          <w:sz w:val="32"/>
          <w:szCs w:val="32"/>
        </w:rPr>
        <w:t>指单位按照预算管理要求使用非财政拨款结余弥补收支差额的金额，以及使用专用结余安排支出的金额。</w:t>
      </w:r>
    </w:p>
    <w:p w14:paraId="0A6F276C">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九、结余分配</w:t>
      </w:r>
      <w:r>
        <w:rPr>
          <w:rFonts w:ascii="仿宋_GB2312" w:eastAsia="仿宋_GB2312"/>
          <w:b w:val="0"/>
          <w:sz w:val="32"/>
          <w:szCs w:val="32"/>
        </w:rPr>
        <w:t>：指单位缴纳企业所得税以及从非财政拨款结余或经营结余中提取各类结余的情况。</w:t>
      </w:r>
    </w:p>
    <w:p w14:paraId="09E78595">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十、年末结转和结余</w:t>
      </w:r>
      <w:r>
        <w:rPr>
          <w:rFonts w:ascii="仿宋_GB2312" w:eastAsia="仿宋_GB2312"/>
          <w:b w:val="0"/>
          <w:sz w:val="32"/>
          <w:szCs w:val="32"/>
        </w:rPr>
        <w:t>：指单位结转下年的基本支出结转、项目支出结转和结余、经营结余。</w:t>
      </w:r>
    </w:p>
    <w:p w14:paraId="3B3C5F1A">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十一、基本支出</w:t>
      </w:r>
      <w:r>
        <w:rPr>
          <w:rFonts w:ascii="仿宋_GB2312" w:eastAsia="仿宋_GB2312"/>
          <w:b w:val="0"/>
          <w:sz w:val="32"/>
          <w:szCs w:val="32"/>
        </w:rPr>
        <w:t>：指单位为保障机构正常运转、完成日常工作任务而发生的各项支出。</w:t>
      </w:r>
    </w:p>
    <w:p w14:paraId="7B25C215">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十二、项目支出：</w:t>
      </w:r>
      <w:r>
        <w:rPr>
          <w:rFonts w:ascii="仿宋_GB2312" w:eastAsia="仿宋_GB2312"/>
          <w:b w:val="0"/>
          <w:sz w:val="32"/>
          <w:szCs w:val="32"/>
        </w:rPr>
        <w:t>指单位为完成特定的行政工作任务或事业发展目标，在基本支出之外发生的各项支出。</w:t>
      </w:r>
    </w:p>
    <w:p w14:paraId="73B3A1E9">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十三、上缴上级支出：</w:t>
      </w:r>
      <w:r>
        <w:rPr>
          <w:rFonts w:ascii="仿宋_GB2312" w:eastAsia="仿宋_GB2312"/>
          <w:b w:val="0"/>
          <w:sz w:val="32"/>
          <w:szCs w:val="32"/>
        </w:rPr>
        <w:t>指事业单位按照财政部门和主管部门的规定上缴上级单位的支出。</w:t>
      </w:r>
    </w:p>
    <w:p w14:paraId="62138C98">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十四、经营支出：</w:t>
      </w:r>
      <w:r>
        <w:rPr>
          <w:rFonts w:ascii="仿宋_GB2312" w:eastAsia="仿宋_GB2312"/>
          <w:b w:val="0"/>
          <w:sz w:val="32"/>
          <w:szCs w:val="32"/>
        </w:rPr>
        <w:t>指事业单位在专业活动及辅助活动之外开展非独立核算经营活动发生的支出。</w:t>
      </w:r>
    </w:p>
    <w:p w14:paraId="598DB949">
      <w:pPr>
        <w:widowControl/>
        <w:spacing w:before="0" w:beforeLines="0" w:beforeAutospacing="0" w:after="0" w:afterLines="0" w:afterAutospacing="0" w:line="240" w:lineRule="auto"/>
        <w:ind w:firstLine="643" w:firstLineChars="200"/>
        <w:jc w:val="left"/>
        <w:rPr>
          <w:rFonts w:ascii="宋体" w:eastAsia="仿宋_GB2312"/>
          <w:sz w:val="32"/>
          <w:szCs w:val="32"/>
        </w:rPr>
      </w:pPr>
      <w:r>
        <w:rPr>
          <w:rFonts w:ascii="宋体" w:eastAsia="仿宋_GB2312"/>
          <w:b/>
          <w:sz w:val="32"/>
          <w:szCs w:val="32"/>
        </w:rPr>
        <w:t>十五、对附属单位补助支出：</w:t>
      </w:r>
      <w:r>
        <w:rPr>
          <w:rFonts w:ascii="宋体" w:eastAsia="仿宋_GB2312"/>
          <w:b w:val="0"/>
          <w:sz w:val="32"/>
          <w:szCs w:val="32"/>
        </w:rPr>
        <w:t>指事业单位用财政补助收入之外的收入对附属单位补助发生的支出。</w:t>
      </w:r>
    </w:p>
    <w:p w14:paraId="2094C8D2">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十六、“三公”经费：</w:t>
      </w:r>
      <w:r>
        <w:rPr>
          <w:rFonts w:ascii="仿宋_GB2312" w:eastAsia="仿宋_GB2312"/>
          <w:b w:val="0"/>
          <w:sz w:val="32"/>
          <w:szCs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331FFBFA">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十七、机关运行经费：</w:t>
      </w:r>
      <w:r>
        <w:rPr>
          <w:rFonts w:ascii="仿宋_GB2312" w:eastAsia="仿宋_GB2312"/>
          <w:b w:val="0"/>
          <w:sz w:val="32"/>
          <w:szCs w:val="32"/>
        </w:rPr>
        <w:t>指行政单位和参照公务员法管理的事业单位财政拨款基本支出中的公用经费支出。</w:t>
      </w:r>
    </w:p>
    <w:p w14:paraId="594468D8">
      <w:pPr>
        <w:widowControl/>
      </w:pPr>
      <w:r>
        <w:rPr>
          <w:b w:val="0"/>
          <w:sz w:val="0"/>
          <w:szCs w:val="0"/>
        </w:rPr>
        <w:br w:type="page"/>
      </w:r>
    </w:p>
    <w:p w14:paraId="2B5A751B">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 部门决算报表（见附表）</w:t>
      </w:r>
    </w:p>
    <w:p w14:paraId="15227B80">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14:paraId="2754B2AC">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14:paraId="0D16A33F">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14:paraId="522E31F4">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14:paraId="63E2961B">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14:paraId="0A32D607">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14:paraId="65E7088A">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14:paraId="5F614B20">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14:paraId="1592352C">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九、《财政拨款“三公”经费支出决算表》</w:t>
      </w:r>
    </w:p>
    <w:p w14:paraId="232ADD52">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roma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
  <w:docVars>
    <w:docVar w:name="commondata" w:val="eyJoZGlkIjoiODViY2JkMjU3NGYzZTEwMzZmMGFkZWViYmNkYWU3NDIifQ=="/>
  </w:docVars>
  <w:rsids>
    <w:rsidRoot w:val="00785698"/>
    <w:rsid w:val="003C4C4E"/>
    <w:rsid w:val="00785698"/>
    <w:rsid w:val="03A0437E"/>
    <w:rsid w:val="26AA3523"/>
    <w:rsid w:val="482569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semiHidden="0" w:name="Normal Indent"/>
    <w:lsdException w:uiPriority="99" w:name="footnote text"/>
    <w:lsdException w:uiPriority="99" w:name="annotation text"/>
    <w:lsdException w:qFormat="1" w:uiPriority="99"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4">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footer"/>
    <w:basedOn w:val="1"/>
    <w:link w:val="24"/>
    <w:semiHidden/>
    <w:unhideWhenUsed/>
    <w:qFormat/>
    <w:uiPriority w:val="99"/>
    <w:pPr>
      <w:tabs>
        <w:tab w:val="center" w:pos="4153"/>
        <w:tab w:val="right" w:pos="8306"/>
      </w:tabs>
      <w:snapToGrid w:val="0"/>
      <w:spacing w:line="240" w:lineRule="auto"/>
    </w:pPr>
    <w:rPr>
      <w:sz w:val="18"/>
      <w:szCs w:val="18"/>
    </w:rPr>
  </w:style>
  <w:style w:type="paragraph" w:styleId="9">
    <w:name w:val="header"/>
    <w:basedOn w:val="1"/>
    <w:link w:val="17"/>
    <w:unhideWhenUsed/>
    <w:qFormat/>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1">
    <w:name w:val="Title"/>
    <w:basedOn w:val="1"/>
    <w:next w:val="1"/>
    <w:link w:val="23"/>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3">
    <w:name w:val="Table Grid"/>
    <w:basedOn w:val="12"/>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5">
    <w:name w:val="Emphasis"/>
    <w:basedOn w:val="14"/>
    <w:qFormat/>
    <w:uiPriority w:val="20"/>
    <w:rPr>
      <w:i/>
      <w:iCs/>
    </w:rPr>
  </w:style>
  <w:style w:type="character" w:styleId="16">
    <w:name w:val="Hyperlink"/>
    <w:basedOn w:val="14"/>
    <w:unhideWhenUsed/>
    <w:qFormat/>
    <w:uiPriority w:val="99"/>
    <w:rPr>
      <w:color w:val="0000FF" w:themeColor="hyperlink"/>
      <w:u w:val="single"/>
    </w:rPr>
  </w:style>
  <w:style w:type="character" w:customStyle="1" w:styleId="17">
    <w:name w:val="页眉 Char"/>
    <w:basedOn w:val="14"/>
    <w:link w:val="9"/>
    <w:qFormat/>
    <w:uiPriority w:val="99"/>
  </w:style>
  <w:style w:type="character" w:customStyle="1" w:styleId="18">
    <w:name w:val="标题 1 Char"/>
    <w:basedOn w:val="14"/>
    <w:link w:val="2"/>
    <w:uiPriority w:val="9"/>
    <w:rPr>
      <w:rFonts w:asciiTheme="majorHAnsi" w:hAnsiTheme="majorHAnsi" w:eastAsiaTheme="majorEastAsia" w:cstheme="majorBidi"/>
      <w:b/>
      <w:bCs/>
      <w:color w:val="366091" w:themeColor="accent1" w:themeShade="BF"/>
      <w:sz w:val="28"/>
      <w:szCs w:val="28"/>
    </w:rPr>
  </w:style>
  <w:style w:type="character" w:customStyle="1" w:styleId="19">
    <w:name w:val="标题 2 Char"/>
    <w:basedOn w:val="14"/>
    <w:link w:val="3"/>
    <w:uiPriority w:val="9"/>
    <w:rPr>
      <w:rFonts w:asciiTheme="majorHAnsi" w:hAnsiTheme="majorHAnsi" w:eastAsiaTheme="majorEastAsia" w:cstheme="majorBidi"/>
      <w:b/>
      <w:bCs/>
      <w:color w:val="4F81BD" w:themeColor="accent1"/>
      <w:sz w:val="26"/>
      <w:szCs w:val="26"/>
    </w:rPr>
  </w:style>
  <w:style w:type="character" w:customStyle="1" w:styleId="20">
    <w:name w:val="标题 3 Char"/>
    <w:basedOn w:val="14"/>
    <w:link w:val="4"/>
    <w:qFormat/>
    <w:uiPriority w:val="9"/>
    <w:rPr>
      <w:rFonts w:asciiTheme="majorHAnsi" w:hAnsiTheme="majorHAnsi" w:eastAsiaTheme="majorEastAsia" w:cstheme="majorBidi"/>
      <w:b/>
      <w:bCs/>
      <w:color w:val="4F81BD" w:themeColor="accent1"/>
    </w:rPr>
  </w:style>
  <w:style w:type="character" w:customStyle="1" w:styleId="21">
    <w:name w:val="标题 4 Char"/>
    <w:basedOn w:val="14"/>
    <w:link w:val="5"/>
    <w:uiPriority w:val="9"/>
    <w:rPr>
      <w:rFonts w:asciiTheme="majorHAnsi" w:hAnsiTheme="majorHAnsi" w:eastAsiaTheme="majorEastAsia" w:cstheme="majorBidi"/>
      <w:b/>
      <w:bCs/>
      <w:i/>
      <w:iCs/>
      <w:color w:val="4F81BD" w:themeColor="accent1"/>
    </w:rPr>
  </w:style>
  <w:style w:type="character" w:customStyle="1" w:styleId="22">
    <w:name w:val="副标题 Char"/>
    <w:basedOn w:val="14"/>
    <w:link w:val="10"/>
    <w:uiPriority w:val="11"/>
    <w:rPr>
      <w:rFonts w:asciiTheme="majorHAnsi" w:hAnsiTheme="majorHAnsi" w:eastAsiaTheme="majorEastAsia" w:cstheme="majorBidi"/>
      <w:i/>
      <w:iCs/>
      <w:color w:val="4F81BD" w:themeColor="accent1"/>
      <w:spacing w:val="15"/>
      <w:sz w:val="24"/>
      <w:szCs w:val="24"/>
    </w:rPr>
  </w:style>
  <w:style w:type="character" w:customStyle="1" w:styleId="23">
    <w:name w:val="标题 Char"/>
    <w:basedOn w:val="14"/>
    <w:link w:val="11"/>
    <w:qFormat/>
    <w:uiPriority w:val="10"/>
    <w:rPr>
      <w:rFonts w:asciiTheme="majorHAnsi" w:hAnsiTheme="majorHAnsi" w:eastAsiaTheme="majorEastAsia" w:cstheme="majorBidi"/>
      <w:color w:val="17365D" w:themeColor="text2" w:themeShade="BF"/>
      <w:spacing w:val="5"/>
      <w:kern w:val="28"/>
      <w:sz w:val="52"/>
      <w:szCs w:val="52"/>
    </w:rPr>
  </w:style>
  <w:style w:type="character" w:customStyle="1" w:styleId="24">
    <w:name w:val="页脚 Char"/>
    <w:basedOn w:val="14"/>
    <w:link w:val="8"/>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6194</Words>
  <Characters>6796</Characters>
  <Lines>49</Lines>
  <Paragraphs>13</Paragraphs>
  <TotalTime>3</TotalTime>
  <ScaleCrop>false</ScaleCrop>
  <LinksUpToDate>false</LinksUpToDate>
  <CharactersWithSpaces>6803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2026-08-28T03:49:00Z</dcterms:created>
  <dc:creator>Administrator</dc:creator>
  <cp:lastModifiedBy>雨。</cp:lastModifiedBy>
  <dcterms:modified xsi:type="dcterms:W3CDTF">2026-08-29T12:49:07Z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282EDE02CB464D1FAEC1E5EE9A58D017_12</vt:lpwstr>
  </property>
</Properties>
</file>