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514E3D">
      <w:pPr>
        <w:widowControl/>
        <w:spacing w:before="0" w:beforeLines="0" w:beforeAutospacing="0" w:after="0" w:afterLines="0" w:afterAutospacing="0" w:line="240" w:lineRule="auto"/>
        <w:jc w:val="left"/>
        <w:rPr>
          <w:rFonts w:ascii="宋体" w:eastAsia="宋体"/>
          <w:sz w:val="32"/>
          <w:szCs w:val="32"/>
        </w:rPr>
      </w:pPr>
    </w:p>
    <w:p w14:paraId="4D21D257">
      <w:pPr>
        <w:widowControl/>
        <w:spacing w:before="0" w:beforeLines="0" w:beforeAutospacing="0" w:after="0" w:afterLines="0" w:afterAutospacing="0" w:line="240" w:lineRule="auto"/>
        <w:jc w:val="left"/>
        <w:rPr>
          <w:rFonts w:ascii="宋体" w:eastAsia="宋体"/>
          <w:sz w:val="44"/>
          <w:szCs w:val="44"/>
        </w:rPr>
      </w:pPr>
    </w:p>
    <w:p w14:paraId="71A6ABA1">
      <w:pPr>
        <w:widowControl/>
        <w:spacing w:before="0" w:beforeLines="0" w:beforeAutospacing="0" w:after="0" w:afterLines="0" w:afterAutospacing="0" w:line="240" w:lineRule="auto"/>
        <w:jc w:val="left"/>
        <w:rPr>
          <w:rFonts w:ascii="宋体" w:eastAsia="宋体"/>
          <w:sz w:val="44"/>
          <w:szCs w:val="44"/>
        </w:rPr>
      </w:pPr>
    </w:p>
    <w:p w14:paraId="2A2AF811">
      <w:pPr>
        <w:widowControl/>
        <w:spacing w:before="0" w:beforeLines="0" w:beforeAutospacing="0" w:after="0" w:afterLines="0" w:afterAutospacing="0" w:line="240" w:lineRule="auto"/>
        <w:jc w:val="left"/>
        <w:rPr>
          <w:rFonts w:ascii="宋体" w:eastAsia="宋体"/>
          <w:sz w:val="44"/>
          <w:szCs w:val="44"/>
        </w:rPr>
      </w:pPr>
    </w:p>
    <w:p w14:paraId="04FF848D">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新疆维吾尔自治区药物研究院</w:t>
      </w:r>
    </w:p>
    <w:p w14:paraId="75A36144">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3FBD5D99">
      <w:pPr>
        <w:widowControl/>
      </w:pPr>
      <w:r>
        <w:rPr>
          <w:b w:val="0"/>
          <w:sz w:val="0"/>
          <w:szCs w:val="0"/>
        </w:rPr>
        <w:br w:type="page"/>
      </w:r>
    </w:p>
    <w:p w14:paraId="25E88A7F">
      <w:pPr>
        <w:keepNext w:val="0"/>
        <w:keepLines w:val="0"/>
        <w:pageBreakBefore w:val="0"/>
        <w:widowControl w:val="0"/>
        <w:kinsoku/>
        <w:wordWrap/>
        <w:overflowPunct/>
        <w:topLinePunct w:val="0"/>
        <w:autoSpaceDE/>
        <w:autoSpaceDN/>
        <w:bidi w:val="0"/>
        <w:adjustRightInd/>
        <w:snapToGrid/>
        <w:spacing w:after="0" w:line="600" w:lineRule="exact"/>
        <w:ind w:left="0" w:leftChars="0"/>
        <w:jc w:val="center"/>
        <w:textAlignment w:val="auto"/>
        <w:rPr>
          <w:rFonts w:hint="eastAsia" w:ascii="仿宋_GB2312" w:hAnsi="仿宋_GB2312" w:eastAsia="仿宋_GB2312" w:cs="仿宋_GB2312"/>
          <w:b/>
          <w:bCs w:val="0"/>
          <w:kern w:val="0"/>
          <w:sz w:val="36"/>
          <w:szCs w:val="36"/>
          <w:highlight w:val="none"/>
          <w:lang w:eastAsia="zh-CN"/>
        </w:rPr>
      </w:pPr>
      <w:r>
        <w:rPr>
          <w:rFonts w:hint="eastAsia" w:ascii="仿宋_GB2312" w:hAnsi="仿宋_GB2312" w:eastAsia="仿宋_GB2312" w:cs="仿宋_GB2312"/>
          <w:b/>
          <w:bCs w:val="0"/>
          <w:kern w:val="0"/>
          <w:sz w:val="36"/>
          <w:szCs w:val="36"/>
          <w:highlight w:val="none"/>
          <w:lang w:eastAsia="zh-CN"/>
        </w:rPr>
        <w:t>目</w:t>
      </w:r>
      <w:r>
        <w:rPr>
          <w:rFonts w:hint="eastAsia" w:ascii="仿宋_GB2312" w:hAnsi="仿宋_GB2312" w:eastAsia="仿宋_GB2312" w:cs="仿宋_GB2312"/>
          <w:b/>
          <w:bCs w:val="0"/>
          <w:kern w:val="0"/>
          <w:sz w:val="36"/>
          <w:szCs w:val="36"/>
          <w:highlight w:val="none"/>
          <w:lang w:val="en-US" w:eastAsia="zh-CN"/>
        </w:rPr>
        <w:t xml:space="preserve"> </w:t>
      </w:r>
      <w:r>
        <w:rPr>
          <w:rFonts w:hint="eastAsia" w:ascii="仿宋_GB2312" w:hAnsi="仿宋_GB2312" w:eastAsia="仿宋_GB2312" w:cs="仿宋_GB2312"/>
          <w:b/>
          <w:bCs w:val="0"/>
          <w:kern w:val="0"/>
          <w:sz w:val="36"/>
          <w:szCs w:val="36"/>
          <w:highlight w:val="none"/>
          <w:lang w:eastAsia="zh-CN"/>
        </w:rPr>
        <w:t xml:space="preserve"> 录</w:t>
      </w:r>
    </w:p>
    <w:p w14:paraId="0361FA67">
      <w:pPr>
        <w:widowControl/>
        <w:spacing w:before="0" w:beforeLines="0" w:beforeAutospacing="0" w:after="0" w:afterLines="0" w:afterAutospacing="0" w:line="240" w:lineRule="auto"/>
        <w:jc w:val="left"/>
        <w:rPr>
          <w:rFonts w:ascii="仿宋_GB2312" w:eastAsia="仿宋_GB2312"/>
          <w:b/>
          <w:sz w:val="32"/>
          <w:szCs w:val="32"/>
        </w:rPr>
      </w:pPr>
      <w:r>
        <w:rPr>
          <w:rFonts w:ascii="仿宋_GB2312" w:eastAsia="仿宋_GB2312"/>
          <w:b/>
          <w:sz w:val="32"/>
          <w:szCs w:val="32"/>
        </w:rPr>
        <w:t>第一部分单位概况</w:t>
      </w:r>
    </w:p>
    <w:p w14:paraId="5987F58A">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一、主要职能</w:t>
      </w:r>
    </w:p>
    <w:p w14:paraId="5E1C1A1E">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二、机构设置</w:t>
      </w:r>
    </w:p>
    <w:p w14:paraId="1ACAAE06">
      <w:pPr>
        <w:widowControl/>
        <w:spacing w:before="0" w:beforeLines="0" w:beforeAutospacing="0" w:after="0" w:afterLines="0" w:afterAutospacing="0" w:line="240" w:lineRule="auto"/>
        <w:jc w:val="left"/>
        <w:rPr>
          <w:rFonts w:ascii="仿宋_GB2312" w:eastAsia="仿宋_GB2312"/>
          <w:b/>
          <w:sz w:val="32"/>
          <w:szCs w:val="32"/>
        </w:rPr>
      </w:pPr>
      <w:r>
        <w:rPr>
          <w:rFonts w:ascii="仿宋_GB2312" w:eastAsia="仿宋_GB2312"/>
          <w:b/>
          <w:sz w:val="32"/>
          <w:szCs w:val="32"/>
        </w:rPr>
        <w:t>第二部分 部门决算情况说明</w:t>
      </w:r>
    </w:p>
    <w:p w14:paraId="1FEEBF79">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一、收入支出决算总体情况说明</w:t>
      </w:r>
    </w:p>
    <w:p w14:paraId="24DD9A56">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二、收入决算情况说明</w:t>
      </w:r>
    </w:p>
    <w:p w14:paraId="375D86A5">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三、支出决算情况说明</w:t>
      </w:r>
    </w:p>
    <w:p w14:paraId="27ABF1B8">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四、财政拨款收入支出决算总体情况说明</w:t>
      </w:r>
    </w:p>
    <w:p w14:paraId="39A53C0C">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五、一般公共预算财政拨款支出决算情况说明</w:t>
      </w:r>
    </w:p>
    <w:p w14:paraId="723761BC">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（一）一般公共预算财政拨款支出决算总体情况</w:t>
      </w:r>
    </w:p>
    <w:p w14:paraId="59DD948A">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（二）一般公共预算财政拨款支出决算结构情况</w:t>
      </w:r>
    </w:p>
    <w:p w14:paraId="0A7E37D3">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（三）一般公共预算财政拨款支出决算具体情况</w:t>
      </w:r>
    </w:p>
    <w:p w14:paraId="05E8208E">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六、一般公共预算财政拨款基本支出决算情况说明</w:t>
      </w:r>
    </w:p>
    <w:p w14:paraId="5040483B">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七、政府性基金预算财政拨款收入支出决算情况说明</w:t>
      </w:r>
    </w:p>
    <w:p w14:paraId="5C19269F">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八、国有资本经营预算财政拨款收入支出决算情况说明</w:t>
      </w:r>
    </w:p>
    <w:p w14:paraId="1ADF7C22">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九、财政拨款“三公”经费支出决算情况说明</w:t>
      </w:r>
    </w:p>
    <w:p w14:paraId="637BE0A5">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十、其他重要事项的情况说明</w:t>
      </w:r>
    </w:p>
    <w:p w14:paraId="0981F067">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（一）机关运行经费及公用经费支出情况</w:t>
      </w:r>
    </w:p>
    <w:p w14:paraId="4A7A737B">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（二）政府采购情况</w:t>
      </w:r>
    </w:p>
    <w:p w14:paraId="51C9C190">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（三）国有资产占用情况说明</w:t>
      </w:r>
    </w:p>
    <w:p w14:paraId="5D94952B">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十一、预算绩效的情况说明</w:t>
      </w:r>
    </w:p>
    <w:p w14:paraId="60901F3E">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十二、其他需说明的事项</w:t>
      </w:r>
    </w:p>
    <w:p w14:paraId="610A73DC">
      <w:pPr>
        <w:widowControl/>
        <w:spacing w:before="0" w:beforeLines="0" w:beforeAutospacing="0" w:after="0" w:afterLines="0" w:afterAutospacing="0" w:line="240" w:lineRule="auto"/>
        <w:jc w:val="left"/>
        <w:rPr>
          <w:rFonts w:ascii="仿宋_GB2312" w:eastAsia="仿宋_GB2312"/>
          <w:b/>
          <w:sz w:val="32"/>
          <w:szCs w:val="32"/>
        </w:rPr>
      </w:pPr>
      <w:r>
        <w:rPr>
          <w:rFonts w:ascii="仿宋_GB2312" w:eastAsia="仿宋_GB2312"/>
          <w:b/>
          <w:sz w:val="32"/>
          <w:szCs w:val="32"/>
        </w:rPr>
        <w:t>第三部分 专业名词解释</w:t>
      </w:r>
    </w:p>
    <w:p w14:paraId="72DB9A67">
      <w:pPr>
        <w:widowControl/>
        <w:spacing w:before="0" w:beforeLines="0" w:beforeAutospacing="0" w:after="0" w:afterLines="0" w:afterAutospacing="0" w:line="240" w:lineRule="auto"/>
        <w:jc w:val="left"/>
        <w:rPr>
          <w:rFonts w:ascii="仿宋_GB2312" w:eastAsia="仿宋_GB2312"/>
          <w:b/>
          <w:sz w:val="32"/>
          <w:szCs w:val="32"/>
        </w:rPr>
      </w:pPr>
      <w:r>
        <w:rPr>
          <w:rFonts w:ascii="仿宋_GB2312" w:eastAsia="仿宋_GB2312"/>
          <w:b/>
          <w:sz w:val="32"/>
          <w:szCs w:val="32"/>
        </w:rPr>
        <w:t>第四部分 部门决算报表（见附表）</w:t>
      </w:r>
    </w:p>
    <w:p w14:paraId="0901787D">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一、《收入支出决算总表》</w:t>
      </w:r>
    </w:p>
    <w:p w14:paraId="7A4FAD6C">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二、《收入决算表》</w:t>
      </w:r>
    </w:p>
    <w:p w14:paraId="490EEF44">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三、《支出决算表》</w:t>
      </w:r>
    </w:p>
    <w:p w14:paraId="3A08A18F">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四、《财政拨款收入支出决算总表》</w:t>
      </w:r>
    </w:p>
    <w:p w14:paraId="7BB5D28A">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五、《一般公共预算财政拨款支出决算表》</w:t>
      </w:r>
    </w:p>
    <w:p w14:paraId="5D2F634B">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六、《一般公共预算财政拨款基本支出决算表》</w:t>
      </w:r>
    </w:p>
    <w:p w14:paraId="06B87E45">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七、《政府性基金预算财政拨款收入支出决算表》</w:t>
      </w:r>
    </w:p>
    <w:p w14:paraId="33561A7E">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八、《国有资本经营预算财政拨款收入支出决算表》</w:t>
      </w:r>
    </w:p>
    <w:p w14:paraId="03F410AF">
      <w:pPr>
        <w:widowControl/>
        <w:spacing w:before="0" w:beforeLines="0" w:beforeAutospacing="0" w:after="0" w:afterLines="0" w:afterAutospacing="0" w:line="240" w:lineRule="auto"/>
        <w:jc w:val="left"/>
        <w:rPr>
          <w:rFonts w:ascii="仿宋_GB2312" w:eastAsia="仿宋_GB2312"/>
          <w:b w:val="0"/>
          <w:sz w:val="32"/>
          <w:szCs w:val="32"/>
        </w:rPr>
      </w:pPr>
      <w:r>
        <w:rPr>
          <w:rFonts w:ascii="仿宋_GB2312" w:eastAsia="仿宋_GB2312"/>
          <w:b w:val="0"/>
          <w:sz w:val="32"/>
          <w:szCs w:val="32"/>
        </w:rPr>
        <w:t>九、《财政拨款“三公”经费支出决算表》</w:t>
      </w:r>
    </w:p>
    <w:p w14:paraId="036CE377">
      <w:pPr>
        <w:widowControl/>
      </w:pPr>
      <w:r>
        <w:rPr>
          <w:b w:val="0"/>
          <w:sz w:val="0"/>
          <w:szCs w:val="0"/>
        </w:rPr>
        <w:br w:type="page"/>
      </w:r>
    </w:p>
    <w:p w14:paraId="63001D21">
      <w:pPr>
        <w:widowControl/>
        <w:spacing w:before="0" w:beforeLines="0" w:beforeAutospacing="0" w:after="0" w:afterLines="0" w:afterAutospacing="0" w:line="240" w:lineRule="auto"/>
        <w:jc w:val="center"/>
        <w:outlineLvl w:val="0"/>
        <w:rPr>
          <w:rFonts w:hint="eastAsia" w:ascii="黑体" w:eastAsia="黑体"/>
          <w:b w:val="0"/>
          <w:sz w:val="32"/>
          <w:szCs w:val="32"/>
          <w:lang w:val="en-US" w:eastAsia="zh-CN"/>
        </w:rPr>
      </w:pPr>
      <w:r>
        <w:rPr>
          <w:rFonts w:hint="eastAsia" w:ascii="黑体" w:eastAsia="黑体"/>
          <w:b w:val="0"/>
          <w:sz w:val="32"/>
          <w:szCs w:val="32"/>
          <w:lang w:val="en-US" w:eastAsia="zh-CN"/>
        </w:rPr>
        <w:t>第一部分 单位概况</w:t>
      </w:r>
    </w:p>
    <w:p w14:paraId="21A8F714">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一、主要职能</w:t>
      </w:r>
    </w:p>
    <w:p w14:paraId="65AD825E">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为贯彻落实国家和自治区关于深化科研院所体制机制改革决策部署，根据《自治区党委编委关于印发&lt;新疆维吾尔自治区卫生健康委员会所属事业单位改革方案&gt;的通知》（新党编委[2024]80号）规定，2024年5月自治区药物研究院正式获批成立。</w:t>
      </w:r>
    </w:p>
    <w:p w14:paraId="4DB0BC88">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自治区药物研究院为自治区卫生健康委直属事业单位，是自治区科技厅社会公益一类全额拨款单位,为自治区综合性药物研发机构。单位主要职责为开展中药资源评估、生产工艺、质量标准、稳定性、药效学及安全性评价等创新药物应用开发研究；中药材资源研究保护与利用、大健康产品研发、药效物质基础与作用机制等创新药物应用基础研究；少数民族医药古籍文献研究与保护，少数民族医药基础理论研究及临床应用；组织开展学术交流合作，出版发行学术刊物。单位相继挂牌“蒋建东院士协同创新中心”“国家级非物质文化遗产保护单位”“自治区级非物质文化遗产保护单位”“自治区级工程技术研究中心”“自治区博士后创新实践基地”等，拥有国家中医药管理局重点研究室1个，国家中医药管理局三级实验室4个，自治区重点实验室3个。</w:t>
      </w:r>
    </w:p>
    <w:p w14:paraId="3C5238D7">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二、机构设置</w:t>
      </w:r>
    </w:p>
    <w:p w14:paraId="5AE2568A">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新疆维吾尔自治区药物研究院无下属预算单位。</w:t>
      </w:r>
    </w:p>
    <w:p w14:paraId="406EB06B">
      <w:pPr>
        <w:widowControl/>
      </w:pPr>
      <w:r>
        <w:rPr>
          <w:b w:val="0"/>
          <w:sz w:val="0"/>
          <w:szCs w:val="0"/>
        </w:rPr>
        <w:br w:type="page"/>
      </w:r>
    </w:p>
    <w:p w14:paraId="33D4C2FC">
      <w:pPr>
        <w:widowControl/>
        <w:spacing w:before="0" w:beforeLines="0" w:beforeAutospacing="0" w:after="0" w:afterLines="0" w:afterAutospacing="0" w:line="240" w:lineRule="auto"/>
        <w:jc w:val="center"/>
        <w:outlineLvl w:val="0"/>
        <w:rPr>
          <w:rFonts w:ascii="黑体" w:eastAsia="黑体"/>
          <w:b w:val="0"/>
          <w:sz w:val="32"/>
          <w:szCs w:val="32"/>
        </w:rPr>
      </w:pPr>
      <w:r>
        <w:rPr>
          <w:rFonts w:ascii="黑体" w:eastAsia="黑体"/>
          <w:b w:val="0"/>
          <w:sz w:val="32"/>
          <w:szCs w:val="32"/>
        </w:rPr>
        <w:t>第二部分 部门决算情况说明</w:t>
      </w:r>
    </w:p>
    <w:p w14:paraId="5DE1491C">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一、收入支出决算总体情况说明</w:t>
      </w:r>
    </w:p>
    <w:p w14:paraId="23266DA4">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2025年度收入总计14,130.92万元，</w:t>
      </w:r>
      <w:r>
        <w:rPr>
          <w:rFonts w:ascii="仿宋_GB2312" w:eastAsia="仿宋_GB2312"/>
          <w:b w:val="0"/>
          <w:sz w:val="32"/>
          <w:szCs w:val="32"/>
        </w:rPr>
        <w:t>其中：本年收入合计8,143.22万元，使用非财政拨款结余（含专用结余）0.00万元，年初结转和结余5,987.70万元。</w:t>
      </w:r>
    </w:p>
    <w:p w14:paraId="4E949B97">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2025年度支出总计14,130.92</w:t>
      </w:r>
      <w:r>
        <w:rPr>
          <w:rFonts w:ascii="仿宋_GB2312" w:eastAsia="仿宋_GB2312"/>
          <w:b w:val="0"/>
          <w:sz w:val="32"/>
          <w:szCs w:val="32"/>
        </w:rPr>
        <w:t>万元，</w:t>
      </w:r>
      <w:r>
        <w:rPr>
          <w:rFonts w:ascii="仿宋_GB2312" w:eastAsia="仿宋_GB2312"/>
          <w:b w:val="0"/>
          <w:sz w:val="32"/>
          <w:szCs w:val="32"/>
        </w:rPr>
        <w:t>其中：本年支出合计8,275.20万元，结余分配24.97万元，年末结转和结余5,830.76万元。</w:t>
      </w:r>
    </w:p>
    <w:p w14:paraId="26F2AF60">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收入支出总体与上年相比，</w:t>
      </w:r>
      <w:r>
        <w:rPr>
          <w:rFonts w:ascii="仿宋_GB2312" w:eastAsia="仿宋_GB2312"/>
          <w:b w:val="0"/>
          <w:sz w:val="32"/>
          <w:szCs w:val="32"/>
        </w:rPr>
        <w:t>增加9,288.51万元，增长191.82%，主要原因是：根据相关文件精神，将三家单位整合组建新疆维吾尔自治区药物研究院，并入原新疆维吾尔自治区药物研究所和原新疆维吾尔自治区维吾尔医药研究所相关数据，导致</w:t>
      </w:r>
      <w:r>
        <w:rPr>
          <w:rFonts w:hint="eastAsia" w:ascii="仿宋_GB2312" w:eastAsia="仿宋_GB2312"/>
          <w:b w:val="0"/>
          <w:sz w:val="32"/>
          <w:szCs w:val="32"/>
          <w:lang w:val="en-US" w:eastAsia="zh-CN"/>
        </w:rPr>
        <w:t>相关人员经费及项目经费大幅增加</w:t>
      </w:r>
      <w:r>
        <w:rPr>
          <w:rFonts w:ascii="仿宋_GB2312" w:eastAsia="仿宋_GB2312"/>
          <w:b w:val="0"/>
          <w:sz w:val="32"/>
          <w:szCs w:val="32"/>
        </w:rPr>
        <w:t>。</w:t>
      </w:r>
    </w:p>
    <w:p w14:paraId="61ECAA38">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二、收入决算情况说明</w:t>
      </w:r>
    </w:p>
    <w:p w14:paraId="1036F031">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本年收入8,143.22万元，其中：财政拨款收入4,782.86万元,占58.73%；上级补助收入0.00万元,占0.00%；事业收入0.00万元，占0.00%；经营收入0.00万元,占0.00%；附属单位上缴收入0.00万元，占0.00%；其他收入3,360.36万元，占41.27%。</w:t>
      </w:r>
    </w:p>
    <w:p w14:paraId="10CB48C3">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三、支出决算情况说明</w:t>
      </w:r>
    </w:p>
    <w:p w14:paraId="1081330A">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本年支出8,275.20万元，其中：基本支出3,139.03万元，占37.93%；项目支出5,136.16万元，占62.07%；上缴上级支出0.00万元，占0.00%；经营支出0.00万元，占0.00%；对附属单位补助支出0.00万元，占0.00%。</w:t>
      </w:r>
    </w:p>
    <w:p w14:paraId="442DF2FB">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四、财政拨款收入支出决算总体情况说明</w:t>
      </w:r>
    </w:p>
    <w:p w14:paraId="5AC7B231">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2025年度财政拨款收入总计4,782.86万元，其中：年初财政拨款结转和结余0.00万元，本年财政拨款收入4,782.86万元。财政拨款支出总计4,782.86万元，其中：年末财政拨款结转和结余0.00万元，本年财政拨款支出4,782.86万元。</w:t>
      </w:r>
    </w:p>
    <w:p w14:paraId="40C3CF1D">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财政拨款收入支出总体与上年相比，增加3,477.16万元，增长266.31%，主要原因是：根据相关文件精神，将三家单位整合组建新疆维吾尔自治区药物研究院，并入原新疆维吾尔自治区药物研究所和原新疆维吾尔自治区维吾尔医药研究所相关数据，导致</w:t>
      </w:r>
      <w:r>
        <w:rPr>
          <w:rFonts w:hint="eastAsia" w:ascii="仿宋_GB2312" w:eastAsia="仿宋_GB2312"/>
          <w:b w:val="0"/>
          <w:sz w:val="32"/>
          <w:szCs w:val="32"/>
          <w:lang w:val="en-US" w:eastAsia="zh-CN"/>
        </w:rPr>
        <w:t>相关人员经费及项目经费大幅增加</w:t>
      </w:r>
      <w:r>
        <w:rPr>
          <w:rFonts w:ascii="仿宋_GB2312" w:eastAsia="仿宋_GB2312"/>
          <w:b w:val="0"/>
          <w:sz w:val="32"/>
          <w:szCs w:val="32"/>
        </w:rPr>
        <w:t>。与年初预算相比，年初预算数3,230.03万元，决算数4,782.86万元，预决算差异率48.07%，主要原因是：本年追加</w:t>
      </w:r>
      <w:r>
        <w:rPr>
          <w:rFonts w:hint="eastAsia" w:ascii="仿宋_GB2312" w:eastAsia="仿宋_GB2312"/>
          <w:b w:val="0"/>
          <w:sz w:val="32"/>
          <w:szCs w:val="32"/>
          <w:lang w:val="en-US" w:eastAsia="zh-CN"/>
        </w:rPr>
        <w:t>-天山英才人才培养等</w:t>
      </w:r>
      <w:r>
        <w:rPr>
          <w:rFonts w:ascii="仿宋_GB2312" w:eastAsia="仿宋_GB2312"/>
          <w:b w:val="0"/>
          <w:sz w:val="32"/>
          <w:szCs w:val="32"/>
        </w:rPr>
        <w:t>项目、中医（民族医）药专项项目经费</w:t>
      </w:r>
      <w:r>
        <w:rPr>
          <w:rFonts w:hint="eastAsia" w:ascii="仿宋_GB2312" w:eastAsia="仿宋_GB2312"/>
          <w:b w:val="0"/>
          <w:sz w:val="32"/>
          <w:szCs w:val="32"/>
          <w:lang w:eastAsia="zh-CN"/>
        </w:rPr>
        <w:t>，</w:t>
      </w:r>
      <w:r>
        <w:rPr>
          <w:rFonts w:ascii="仿宋_GB2312" w:eastAsia="仿宋_GB2312"/>
          <w:b w:val="0"/>
          <w:sz w:val="32"/>
          <w:szCs w:val="32"/>
        </w:rPr>
        <w:t>导致预决算差异率较大。</w:t>
      </w:r>
    </w:p>
    <w:p w14:paraId="30529291">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五、一般公共预算财政拨款支出决算情况说明</w:t>
      </w:r>
    </w:p>
    <w:p w14:paraId="15D97BDE">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人员经费、公用经费、科研项目经费等重点支出，体现在有关支出科目中。</w:t>
      </w:r>
    </w:p>
    <w:p w14:paraId="4FFBFF89">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按照支出功能分类，科学技术支出（类）应用研究（款）机构运行（项）的支出占本年财政拨款支出总额的比重最高，2025年度决算数为3,136.13万元，占比65.57%，主要用于科技人才队伍建设、社会公益研究。</w:t>
      </w:r>
    </w:p>
    <w:p w14:paraId="63CE2775">
      <w:pPr>
        <w:widowControl/>
        <w:spacing w:before="0" w:beforeLines="0" w:beforeAutospacing="0" w:after="0" w:afterLines="0" w:afterAutospacing="0" w:line="240" w:lineRule="auto"/>
        <w:ind w:firstLine="640" w:firstLineChars="200"/>
        <w:jc w:val="both"/>
        <w:outlineLvl w:val="2"/>
        <w:rPr>
          <w:rFonts w:hint="eastAsia" w:ascii="黑体" w:eastAsia="黑体"/>
          <w:b w:val="0"/>
          <w:sz w:val="32"/>
          <w:szCs w:val="32"/>
          <w:lang w:eastAsia="zh-CN"/>
        </w:rPr>
      </w:pPr>
      <w:r>
        <w:rPr>
          <w:rFonts w:hint="eastAsia" w:ascii="黑体" w:eastAsia="黑体"/>
          <w:b w:val="0"/>
          <w:sz w:val="32"/>
          <w:szCs w:val="32"/>
          <w:lang w:eastAsia="zh-CN"/>
        </w:rPr>
        <w:t>（一）一般公共预算财政拨款支出决算总体情况</w:t>
      </w:r>
    </w:p>
    <w:p w14:paraId="28E492A3">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2025年度一般公共预算财政拨款支出4,782.86万元，占本年支出合计的57.80%。与上年相比，增加3,477.16万元，增长266.31%，主要原因是：根据相关文件精神，将三家单位整合组建新疆维吾尔自治区药物研究院，并入原新疆维吾尔自治区药物研究所和原新疆维吾尔自治区维吾尔医药研究所相关数据，导致本年</w:t>
      </w:r>
      <w:r>
        <w:rPr>
          <w:rFonts w:hint="eastAsia" w:ascii="仿宋_GB2312" w:eastAsia="仿宋_GB2312"/>
          <w:b w:val="0"/>
          <w:sz w:val="32"/>
          <w:szCs w:val="32"/>
          <w:lang w:val="en-US" w:eastAsia="zh-CN"/>
        </w:rPr>
        <w:t>相关人员经费及项目经费</w:t>
      </w:r>
      <w:r>
        <w:rPr>
          <w:rFonts w:ascii="仿宋_GB2312" w:eastAsia="仿宋_GB2312"/>
          <w:b w:val="0"/>
          <w:sz w:val="32"/>
          <w:szCs w:val="32"/>
        </w:rPr>
        <w:t>增幅较大。与年初预算相比，年初预算数3,230.03万元，决算数4,782.86万元，预决算差异率48.07%，主要原因是：本年追加</w:t>
      </w:r>
      <w:r>
        <w:rPr>
          <w:rFonts w:hint="eastAsia" w:ascii="仿宋_GB2312" w:eastAsia="仿宋_GB2312"/>
          <w:b w:val="0"/>
          <w:sz w:val="32"/>
          <w:szCs w:val="32"/>
          <w:lang w:val="en-US" w:eastAsia="zh-CN"/>
        </w:rPr>
        <w:t>-天山英才人才培养等</w:t>
      </w:r>
      <w:r>
        <w:rPr>
          <w:rFonts w:ascii="仿宋_GB2312" w:eastAsia="仿宋_GB2312"/>
          <w:b w:val="0"/>
          <w:sz w:val="32"/>
          <w:szCs w:val="32"/>
        </w:rPr>
        <w:t>项目、中医（民族医）药专项项目经费</w:t>
      </w:r>
      <w:r>
        <w:rPr>
          <w:rFonts w:hint="eastAsia" w:ascii="仿宋_GB2312" w:eastAsia="仿宋_GB2312"/>
          <w:b w:val="0"/>
          <w:sz w:val="32"/>
          <w:szCs w:val="32"/>
          <w:lang w:eastAsia="zh-CN"/>
        </w:rPr>
        <w:t>，</w:t>
      </w:r>
      <w:r>
        <w:rPr>
          <w:rFonts w:ascii="仿宋_GB2312" w:eastAsia="仿宋_GB2312"/>
          <w:b w:val="0"/>
          <w:sz w:val="32"/>
          <w:szCs w:val="32"/>
        </w:rPr>
        <w:t>导致预决算差异率较大。</w:t>
      </w:r>
    </w:p>
    <w:p w14:paraId="15BA17E1">
      <w:pPr>
        <w:widowControl/>
        <w:spacing w:before="0" w:beforeLines="0" w:beforeAutospacing="0" w:after="0" w:afterLines="0" w:afterAutospacing="0" w:line="240" w:lineRule="auto"/>
        <w:ind w:firstLine="640" w:firstLineChars="200"/>
        <w:jc w:val="both"/>
        <w:outlineLvl w:val="2"/>
        <w:rPr>
          <w:rFonts w:hint="eastAsia" w:ascii="黑体" w:eastAsia="黑体"/>
          <w:b w:val="0"/>
          <w:sz w:val="32"/>
          <w:szCs w:val="32"/>
          <w:lang w:eastAsia="zh-CN"/>
        </w:rPr>
      </w:pPr>
      <w:r>
        <w:rPr>
          <w:rFonts w:hint="eastAsia" w:ascii="黑体" w:eastAsia="黑体"/>
          <w:b w:val="0"/>
          <w:sz w:val="32"/>
          <w:szCs w:val="32"/>
          <w:lang w:eastAsia="zh-CN"/>
        </w:rPr>
        <w:t>（二）一般公共预算财政拨款支出决算结构情况</w:t>
      </w:r>
    </w:p>
    <w:p w14:paraId="54D1B654">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1.科学技术支出（类）3,698.13万元，占77.32%。</w:t>
      </w:r>
    </w:p>
    <w:p w14:paraId="7A427805">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2.文化旅游体育与传媒支出（类）26.73万元，占0.56%。</w:t>
      </w:r>
    </w:p>
    <w:p w14:paraId="0FE37887">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3.社会保障和就业支出（类）101.00万元，占2.11%。</w:t>
      </w:r>
    </w:p>
    <w:p w14:paraId="227D5A22">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4.卫生健康支出（类）957.00万元，占20.01%。</w:t>
      </w:r>
    </w:p>
    <w:p w14:paraId="7C47C26B">
      <w:pPr>
        <w:widowControl/>
        <w:spacing w:before="0" w:beforeLines="0" w:beforeAutospacing="0" w:after="0" w:afterLines="0" w:afterAutospacing="0" w:line="240" w:lineRule="auto"/>
        <w:ind w:firstLine="640" w:firstLineChars="200"/>
        <w:jc w:val="both"/>
        <w:outlineLvl w:val="2"/>
        <w:rPr>
          <w:rFonts w:hint="eastAsia" w:ascii="黑体" w:eastAsia="黑体"/>
          <w:b w:val="0"/>
          <w:sz w:val="32"/>
          <w:szCs w:val="32"/>
          <w:lang w:eastAsia="zh-CN"/>
        </w:rPr>
      </w:pPr>
      <w:r>
        <w:rPr>
          <w:rFonts w:hint="eastAsia" w:ascii="黑体" w:eastAsia="黑体"/>
          <w:b w:val="0"/>
          <w:sz w:val="32"/>
          <w:szCs w:val="32"/>
          <w:lang w:eastAsia="zh-CN"/>
        </w:rPr>
        <w:t>（三）一般公共预算财政拨款支出决算具体情况</w:t>
      </w:r>
    </w:p>
    <w:p w14:paraId="27E475A3">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1</w:t>
      </w:r>
      <w:r>
        <w:rPr>
          <w:rFonts w:hint="eastAsia" w:ascii="仿宋_GB2312" w:eastAsia="仿宋_GB2312"/>
          <w:b w:val="0"/>
          <w:sz w:val="32"/>
          <w:szCs w:val="32"/>
          <w:lang w:val="en-US" w:eastAsia="zh-CN"/>
        </w:rPr>
        <w:t>.</w:t>
      </w:r>
      <w:r>
        <w:rPr>
          <w:rFonts w:ascii="仿宋_GB2312" w:eastAsia="仿宋_GB2312"/>
          <w:b w:val="0"/>
          <w:sz w:val="32"/>
          <w:szCs w:val="32"/>
        </w:rPr>
        <w:t>科学技术支出（类）基础研究（款）科技人才队伍建设（项）：支出决算数为536.00万元，比上年决算增加</w:t>
      </w:r>
      <w:r>
        <w:rPr>
          <w:rFonts w:hint="eastAsia" w:ascii="仿宋_GB2312" w:eastAsia="仿宋_GB2312"/>
          <w:b w:val="0"/>
          <w:sz w:val="32"/>
          <w:szCs w:val="32"/>
          <w:lang w:val="en-US" w:eastAsia="zh-CN"/>
        </w:rPr>
        <w:t>4</w:t>
      </w:r>
      <w:r>
        <w:rPr>
          <w:rFonts w:ascii="仿宋_GB2312" w:eastAsia="仿宋_GB2312"/>
          <w:b w:val="0"/>
          <w:sz w:val="32"/>
          <w:szCs w:val="32"/>
        </w:rPr>
        <w:t>96.00万元，增长1,240.00%，主要原因是：根据相关文件精神，将三家单位整合组建新疆维吾尔自治区药物研究院，并入原新疆维吾尔自治区药物研究所和原新疆维吾尔自治区维吾尔医药研究所相关数据，导致本年科技人才队伍建设</w:t>
      </w:r>
      <w:r>
        <w:rPr>
          <w:rFonts w:hint="eastAsia" w:ascii="仿宋_GB2312" w:eastAsia="仿宋_GB2312"/>
          <w:b w:val="0"/>
          <w:sz w:val="32"/>
          <w:szCs w:val="32"/>
          <w:lang w:val="en-US" w:eastAsia="zh-CN"/>
        </w:rPr>
        <w:t>-天山英才</w:t>
      </w:r>
      <w:r>
        <w:rPr>
          <w:rFonts w:ascii="仿宋_GB2312" w:eastAsia="仿宋_GB2312"/>
          <w:b w:val="0"/>
          <w:sz w:val="32"/>
          <w:szCs w:val="32"/>
        </w:rPr>
        <w:t>项目支出</w:t>
      </w:r>
      <w:r>
        <w:rPr>
          <w:rFonts w:hint="eastAsia" w:ascii="仿宋_GB2312" w:eastAsia="仿宋_GB2312"/>
          <w:b w:val="0"/>
          <w:sz w:val="32"/>
          <w:szCs w:val="32"/>
          <w:lang w:val="en-US" w:eastAsia="zh-CN"/>
        </w:rPr>
        <w:t>增加</w:t>
      </w:r>
      <w:r>
        <w:rPr>
          <w:rFonts w:ascii="仿宋_GB2312" w:eastAsia="仿宋_GB2312"/>
          <w:b w:val="0"/>
          <w:sz w:val="32"/>
          <w:szCs w:val="32"/>
        </w:rPr>
        <w:t>。</w:t>
      </w:r>
    </w:p>
    <w:p w14:paraId="1274DBCF">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w:t>
      </w:r>
      <w:r>
        <w:rPr>
          <w:rFonts w:hint="eastAsia" w:ascii="仿宋_GB2312" w:eastAsia="仿宋_GB2312"/>
          <w:b w:val="0"/>
          <w:sz w:val="32"/>
          <w:szCs w:val="32"/>
          <w:lang w:val="en-US" w:eastAsia="zh-CN"/>
        </w:rPr>
        <w:t>.</w:t>
      </w:r>
      <w:r>
        <w:rPr>
          <w:rFonts w:ascii="仿宋_GB2312" w:eastAsia="仿宋_GB2312"/>
          <w:b w:val="0"/>
          <w:sz w:val="32"/>
          <w:szCs w:val="32"/>
        </w:rPr>
        <w:t>科学技术支出（类）应用研究（款）机构运行（项）：支出决算数为3,136.13万元，比上年决算增加2,430.43万元，增长344.40%，主要原因是：根据相关文件精神，将三家单位整合组建新疆维吾尔自治区药物研究院，并入原新疆维吾尔自治区药物研究所和原新疆维吾尔自治区维吾尔医药研究所相关数据，导致本年</w:t>
      </w:r>
      <w:r>
        <w:rPr>
          <w:rFonts w:hint="eastAsia" w:ascii="仿宋_GB2312" w:eastAsia="仿宋_GB2312"/>
          <w:b w:val="0"/>
          <w:sz w:val="32"/>
          <w:szCs w:val="32"/>
          <w:lang w:val="en-US" w:eastAsia="zh-CN"/>
        </w:rPr>
        <w:t>人员经费及公用经费</w:t>
      </w:r>
      <w:r>
        <w:rPr>
          <w:rFonts w:ascii="仿宋_GB2312" w:eastAsia="仿宋_GB2312"/>
          <w:b w:val="0"/>
          <w:sz w:val="32"/>
          <w:szCs w:val="32"/>
        </w:rPr>
        <w:t>支出</w:t>
      </w:r>
      <w:r>
        <w:rPr>
          <w:rFonts w:hint="eastAsia" w:ascii="仿宋_GB2312" w:eastAsia="仿宋_GB2312"/>
          <w:b w:val="0"/>
          <w:sz w:val="32"/>
          <w:szCs w:val="32"/>
          <w:lang w:val="en-US" w:eastAsia="zh-CN"/>
        </w:rPr>
        <w:t>增加</w:t>
      </w:r>
      <w:r>
        <w:rPr>
          <w:rFonts w:ascii="仿宋_GB2312" w:eastAsia="仿宋_GB2312"/>
          <w:b w:val="0"/>
          <w:sz w:val="32"/>
          <w:szCs w:val="32"/>
        </w:rPr>
        <w:t>。</w:t>
      </w:r>
    </w:p>
    <w:p w14:paraId="407A684D">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3</w:t>
      </w:r>
      <w:r>
        <w:rPr>
          <w:rFonts w:hint="eastAsia" w:ascii="仿宋_GB2312" w:eastAsia="仿宋_GB2312"/>
          <w:b w:val="0"/>
          <w:sz w:val="32"/>
          <w:szCs w:val="32"/>
          <w:lang w:val="en-US" w:eastAsia="zh-CN"/>
        </w:rPr>
        <w:t>.</w:t>
      </w:r>
      <w:r>
        <w:rPr>
          <w:rFonts w:ascii="仿宋_GB2312" w:eastAsia="仿宋_GB2312"/>
          <w:b w:val="0"/>
          <w:sz w:val="32"/>
          <w:szCs w:val="32"/>
        </w:rPr>
        <w:t>科学技术支出（类）应用研究（款）社会公益研究（项）：支出决算数为26.00万元，比上年决算增加26.00万元，增长100.00%，主要原因是：根据相关文件精神，将三家单位整合组建新疆维吾尔自治区药物研究院，并入原新疆维吾尔自治区药物研究所和原新疆维吾尔自治区维吾尔医药研究所相关数据，导致本年社会公益研究</w:t>
      </w:r>
      <w:r>
        <w:rPr>
          <w:rFonts w:hint="eastAsia" w:ascii="仿宋_GB2312" w:eastAsia="仿宋_GB2312"/>
          <w:b w:val="0"/>
          <w:sz w:val="32"/>
          <w:szCs w:val="32"/>
          <w:lang w:val="en-US" w:eastAsia="zh-CN"/>
        </w:rPr>
        <w:t>-动力试验费</w:t>
      </w:r>
      <w:r>
        <w:rPr>
          <w:rFonts w:ascii="仿宋_GB2312" w:eastAsia="仿宋_GB2312"/>
          <w:b w:val="0"/>
          <w:sz w:val="32"/>
          <w:szCs w:val="32"/>
        </w:rPr>
        <w:t>项目经费增加。</w:t>
      </w:r>
    </w:p>
    <w:p w14:paraId="392A8066">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4</w:t>
      </w:r>
      <w:r>
        <w:rPr>
          <w:rFonts w:hint="eastAsia" w:ascii="仿宋_GB2312" w:eastAsia="仿宋_GB2312"/>
          <w:b w:val="0"/>
          <w:sz w:val="32"/>
          <w:szCs w:val="32"/>
          <w:lang w:val="en-US" w:eastAsia="zh-CN"/>
        </w:rPr>
        <w:t>.</w:t>
      </w:r>
      <w:r>
        <w:rPr>
          <w:rFonts w:ascii="仿宋_GB2312" w:eastAsia="仿宋_GB2312"/>
          <w:b w:val="0"/>
          <w:sz w:val="32"/>
          <w:szCs w:val="32"/>
        </w:rPr>
        <w:t>文化旅游体育与传媒支出（类）文化和旅游（款）文化创作与保护（项）：支出决算数为26.73万元，比上年决算增加26.73万元，增长100.00%，主要原因是：根据相关文件精神，将三家单位整合组建新疆维吾尔自治区药物研究院，并入原新疆维吾尔自治区药物研究所和原新疆维吾尔自治区维吾尔医药研究所相关数据，导致本年文化创作与保护</w:t>
      </w:r>
      <w:r>
        <w:rPr>
          <w:rFonts w:hint="eastAsia" w:ascii="仿宋_GB2312" w:eastAsia="仿宋_GB2312"/>
          <w:b w:val="0"/>
          <w:sz w:val="32"/>
          <w:szCs w:val="32"/>
          <w:lang w:val="en-US" w:eastAsia="zh-CN"/>
        </w:rPr>
        <w:t>-国家级非遗代表性项目经费</w:t>
      </w:r>
      <w:r>
        <w:rPr>
          <w:rFonts w:ascii="仿宋_GB2312" w:eastAsia="仿宋_GB2312"/>
          <w:b w:val="0"/>
          <w:sz w:val="32"/>
          <w:szCs w:val="32"/>
        </w:rPr>
        <w:t>增加。</w:t>
      </w:r>
    </w:p>
    <w:p w14:paraId="561343AF">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5</w:t>
      </w:r>
      <w:r>
        <w:rPr>
          <w:rFonts w:hint="eastAsia" w:ascii="仿宋_GB2312" w:eastAsia="仿宋_GB2312"/>
          <w:b w:val="0"/>
          <w:sz w:val="32"/>
          <w:szCs w:val="32"/>
          <w:lang w:val="en-US" w:eastAsia="zh-CN"/>
        </w:rPr>
        <w:t>.</w:t>
      </w:r>
      <w:r>
        <w:rPr>
          <w:rFonts w:ascii="仿宋_GB2312" w:eastAsia="仿宋_GB2312"/>
          <w:b w:val="0"/>
          <w:sz w:val="32"/>
          <w:szCs w:val="32"/>
        </w:rPr>
        <w:t>社会保障和就业支出（类）人力资源和社会保障管理事务（款）其他人力资源和社会保障管理事务支出（项）：支出决算数为101.00万元，比上年决算增加91.00万元，增长910.00%，主要原因是：根据相关文件精神，将三家单位整合组建新疆维吾尔自治区药物研究院，并入原新疆维吾尔自治区药物研究所和原新疆维吾尔自治区维吾尔医药研究所相关数据，导致本年其他人力资源和社会保障管理事务</w:t>
      </w:r>
      <w:r>
        <w:rPr>
          <w:rFonts w:hint="eastAsia" w:ascii="仿宋_GB2312" w:eastAsia="仿宋_GB2312"/>
          <w:b w:val="0"/>
          <w:sz w:val="32"/>
          <w:szCs w:val="32"/>
          <w:lang w:val="en-US" w:eastAsia="zh-CN"/>
        </w:rPr>
        <w:t>-天山英才人才培养等</w:t>
      </w:r>
      <w:r>
        <w:rPr>
          <w:rFonts w:ascii="仿宋_GB2312" w:eastAsia="仿宋_GB2312"/>
          <w:b w:val="0"/>
          <w:sz w:val="32"/>
          <w:szCs w:val="32"/>
        </w:rPr>
        <w:t>项目经费增加。</w:t>
      </w:r>
    </w:p>
    <w:p w14:paraId="11AF19C6">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6</w:t>
      </w:r>
      <w:r>
        <w:rPr>
          <w:rFonts w:hint="eastAsia" w:ascii="仿宋_GB2312" w:eastAsia="仿宋_GB2312"/>
          <w:b w:val="0"/>
          <w:sz w:val="32"/>
          <w:szCs w:val="32"/>
          <w:lang w:val="en-US" w:eastAsia="zh-CN"/>
        </w:rPr>
        <w:t>.</w:t>
      </w:r>
      <w:r>
        <w:rPr>
          <w:rFonts w:ascii="仿宋_GB2312" w:eastAsia="仿宋_GB2312"/>
          <w:b w:val="0"/>
          <w:sz w:val="32"/>
          <w:szCs w:val="32"/>
        </w:rPr>
        <w:t>卫生健康支出（类）卫生健康管理事务（款）其他卫生健康管理事务支出（项）：支出决算数为189.00万元，比上年决算增加189.00万元，增长100.00%，主要原因是：根据相关文件精神，将三家单位整合组建新疆维吾尔自治区药物研究院，并入原新疆维吾尔自治区药物研究所和原新疆维吾尔自治区维吾尔医药研究所相关数据，导致本年卫生健康管理事务</w:t>
      </w:r>
      <w:r>
        <w:rPr>
          <w:rFonts w:hint="eastAsia" w:ascii="仿宋_GB2312" w:eastAsia="仿宋_GB2312"/>
          <w:b w:val="0"/>
          <w:sz w:val="32"/>
          <w:szCs w:val="32"/>
          <w:lang w:val="en-US" w:eastAsia="zh-CN"/>
        </w:rPr>
        <w:t>-天山英才人才培养等</w:t>
      </w:r>
      <w:r>
        <w:rPr>
          <w:rFonts w:ascii="仿宋_GB2312" w:eastAsia="仿宋_GB2312"/>
          <w:b w:val="0"/>
          <w:sz w:val="32"/>
          <w:szCs w:val="32"/>
        </w:rPr>
        <w:t>项目经费增加。</w:t>
      </w:r>
    </w:p>
    <w:p w14:paraId="6F385C95">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7</w:t>
      </w:r>
      <w:r>
        <w:rPr>
          <w:rFonts w:hint="eastAsia" w:ascii="仿宋_GB2312" w:eastAsia="仿宋_GB2312"/>
          <w:b w:val="0"/>
          <w:sz w:val="32"/>
          <w:szCs w:val="32"/>
          <w:lang w:val="en-US" w:eastAsia="zh-CN"/>
        </w:rPr>
        <w:t>.</w:t>
      </w:r>
      <w:r>
        <w:rPr>
          <w:rFonts w:ascii="仿宋_GB2312" w:eastAsia="仿宋_GB2312"/>
          <w:b w:val="0"/>
          <w:sz w:val="32"/>
          <w:szCs w:val="32"/>
        </w:rPr>
        <w:t>卫生健康支出（类）中医药事务（款）中医（民族医）药专项（项）：支出决算数为668.00万元，比上年决算增加183.00万元，增长37.73%，主要原因是：</w:t>
      </w:r>
      <w:r>
        <w:rPr>
          <w:rFonts w:hint="eastAsia" w:ascii="仿宋_GB2312" w:eastAsia="仿宋_GB2312"/>
          <w:b w:val="0"/>
          <w:sz w:val="32"/>
          <w:szCs w:val="32"/>
          <w:lang w:val="en-US" w:eastAsia="zh-CN"/>
        </w:rPr>
        <w:t>较上年增加</w:t>
      </w:r>
      <w:r>
        <w:rPr>
          <w:rFonts w:ascii="仿宋_GB2312" w:eastAsia="仿宋_GB2312"/>
          <w:b w:val="0"/>
          <w:sz w:val="32"/>
          <w:szCs w:val="32"/>
        </w:rPr>
        <w:t>中医（民族药）专项</w:t>
      </w:r>
      <w:r>
        <w:rPr>
          <w:rFonts w:hint="eastAsia" w:ascii="仿宋_GB2312" w:eastAsia="仿宋_GB2312"/>
          <w:b w:val="0"/>
          <w:sz w:val="32"/>
          <w:szCs w:val="32"/>
          <w:lang w:val="en-US" w:eastAsia="zh-CN"/>
        </w:rPr>
        <w:t>-</w:t>
      </w:r>
      <w:r>
        <w:rPr>
          <w:rFonts w:hint="eastAsia" w:ascii="仿宋_GB2312" w:eastAsia="仿宋_GB2312"/>
          <w:b w:val="0"/>
          <w:sz w:val="32"/>
          <w:szCs w:val="32"/>
        </w:rPr>
        <w:t>中医药事业传承与发展</w:t>
      </w:r>
      <w:r>
        <w:rPr>
          <w:rFonts w:ascii="仿宋_GB2312" w:eastAsia="仿宋_GB2312"/>
          <w:b w:val="0"/>
          <w:sz w:val="32"/>
          <w:szCs w:val="32"/>
        </w:rPr>
        <w:t>项目经费。</w:t>
      </w:r>
    </w:p>
    <w:p w14:paraId="567424C0">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8</w:t>
      </w:r>
      <w:r>
        <w:rPr>
          <w:rFonts w:hint="eastAsia" w:ascii="仿宋_GB2312" w:eastAsia="仿宋_GB2312"/>
          <w:b w:val="0"/>
          <w:sz w:val="32"/>
          <w:szCs w:val="32"/>
          <w:lang w:val="en-US" w:eastAsia="zh-CN"/>
        </w:rPr>
        <w:t>.</w:t>
      </w:r>
      <w:r>
        <w:rPr>
          <w:rFonts w:ascii="仿宋_GB2312" w:eastAsia="仿宋_GB2312"/>
          <w:b w:val="0"/>
          <w:sz w:val="32"/>
          <w:szCs w:val="32"/>
        </w:rPr>
        <w:t>卫生健康支出（类）其他卫生健康支出（款）其他卫生健康支出（项）：支出决算数为100.00万元，比上年决算增加35.00万元，增长53.85%，主要原因是：</w:t>
      </w:r>
      <w:r>
        <w:rPr>
          <w:rFonts w:hint="eastAsia" w:ascii="仿宋_GB2312" w:eastAsia="仿宋_GB2312"/>
          <w:b w:val="0"/>
          <w:sz w:val="32"/>
          <w:szCs w:val="32"/>
          <w:lang w:val="en-US" w:eastAsia="zh-CN"/>
        </w:rPr>
        <w:t>较上年增加</w:t>
      </w:r>
      <w:r>
        <w:rPr>
          <w:rFonts w:ascii="仿宋_GB2312" w:eastAsia="仿宋_GB2312"/>
          <w:b w:val="0"/>
          <w:sz w:val="32"/>
          <w:szCs w:val="32"/>
        </w:rPr>
        <w:t>其他卫生健康支出</w:t>
      </w:r>
      <w:r>
        <w:rPr>
          <w:rFonts w:hint="eastAsia" w:ascii="仿宋_GB2312" w:eastAsia="仿宋_GB2312"/>
          <w:b w:val="0"/>
          <w:sz w:val="32"/>
          <w:szCs w:val="32"/>
          <w:lang w:val="en-US" w:eastAsia="zh-CN"/>
        </w:rPr>
        <w:t>-自治区医疗服务与保障能力提升（卫生健康人才培养）</w:t>
      </w:r>
      <w:r>
        <w:rPr>
          <w:rFonts w:ascii="仿宋_GB2312" w:eastAsia="仿宋_GB2312"/>
          <w:b w:val="0"/>
          <w:sz w:val="32"/>
          <w:szCs w:val="32"/>
        </w:rPr>
        <w:t>项目经费。</w:t>
      </w:r>
    </w:p>
    <w:p w14:paraId="33718202">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六、一般公共预算财政拨款基本支出决算情况说明</w:t>
      </w:r>
    </w:p>
    <w:p w14:paraId="6A1A2FCB">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2025年度一般公共预算财政拨款基本支出3,136.13万元，其中：人员经费2,907.85万元，包括：基本工资、津贴补贴、奖金、绩效工资、机关事业单位基本养老保险缴费、职业年金缴费、职工基本医疗保险缴费、公务员医疗补助缴费、其他社会保障缴费、住房公积金、其他工资福利支出、退休费、生活补助和其他对个人和家庭的补助。</w:t>
      </w:r>
    </w:p>
    <w:p w14:paraId="293F1EA8">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公用经费228.28万元，包括：办公费、印刷费、水费、电费、邮电费、取暖费、差旅费、劳务费、工会经费、福利费、公务用车运行维护费、其他交通费用和其他商品和服务支出。</w:t>
      </w:r>
    </w:p>
    <w:p w14:paraId="2C0C7428">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七、政府性基金预算财政拨款收入支出决算情况说明</w:t>
      </w:r>
    </w:p>
    <w:p w14:paraId="0578111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2AB74134">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八、国有资本经营预算财政拨款收入支出决算情况说明</w:t>
      </w:r>
    </w:p>
    <w:p w14:paraId="4ED8CD72">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2092E18B">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九、财政拨款“三公”经费支出决算情况说明</w:t>
      </w:r>
    </w:p>
    <w:p w14:paraId="5EA3A6B9">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2025年度财政拨款“三公”经费支出5.69万元，比上年增加3.15万元，增长124.02%，主要原因是：根据相关文件精神，将三家单位整合组建新疆维吾尔自治区药物研究院，并入原新疆维吾尔自治区药物研究所和原新疆维吾尔自治区维吾尔医药研究所相关数据，导致本年</w:t>
      </w:r>
      <w:r>
        <w:rPr>
          <w:rFonts w:hint="eastAsia" w:ascii="仿宋_GB2312" w:eastAsia="仿宋_GB2312"/>
          <w:b w:val="0"/>
          <w:sz w:val="32"/>
          <w:szCs w:val="32"/>
          <w:lang w:val="en-US" w:eastAsia="zh-CN"/>
        </w:rPr>
        <w:t>车辆燃油费、保险费等车辆运行维护费增加</w:t>
      </w:r>
      <w:r>
        <w:rPr>
          <w:rFonts w:ascii="仿宋_GB2312" w:eastAsia="仿宋_GB2312"/>
          <w:b w:val="0"/>
          <w:sz w:val="32"/>
          <w:szCs w:val="32"/>
        </w:rPr>
        <w:t>。其中：因公出国（境）费用支出0.00万元,占0.00%，与上年相比无变化，主要原因是：202</w:t>
      </w:r>
      <w:r>
        <w:rPr>
          <w:rFonts w:hint="eastAsia" w:ascii="仿宋_GB2312" w:eastAsia="仿宋_GB2312"/>
          <w:b w:val="0"/>
          <w:sz w:val="32"/>
          <w:szCs w:val="32"/>
          <w:lang w:val="en-US" w:eastAsia="zh-CN"/>
        </w:rPr>
        <w:t>4</w:t>
      </w:r>
      <w:r>
        <w:rPr>
          <w:rFonts w:ascii="仿宋_GB2312" w:eastAsia="仿宋_GB2312"/>
          <w:b w:val="0"/>
          <w:sz w:val="32"/>
          <w:szCs w:val="32"/>
        </w:rPr>
        <w:t>年与2025年均未安排因公出国（境）费用；公务用车购置及运行维护费支出5.69万元，占100.00%，比上年增加3.15万元，增长124.02%，主要原因是：根据相关文件精神，将三家单位整合组建新疆维吾尔自治区药物研究院，并入原新疆维吾尔自治区药物研究所和原新疆维吾尔自治区维吾尔医药研究所相关数据，导致本年</w:t>
      </w:r>
      <w:r>
        <w:rPr>
          <w:rFonts w:hint="eastAsia" w:ascii="仿宋_GB2312" w:eastAsia="仿宋_GB2312"/>
          <w:b w:val="0"/>
          <w:sz w:val="32"/>
          <w:szCs w:val="32"/>
          <w:lang w:val="en-US" w:eastAsia="zh-CN"/>
        </w:rPr>
        <w:t>车辆燃油费、保险费等车辆</w:t>
      </w:r>
      <w:r>
        <w:rPr>
          <w:rFonts w:ascii="仿宋_GB2312" w:eastAsia="仿宋_GB2312"/>
          <w:b w:val="0"/>
          <w:sz w:val="32"/>
          <w:szCs w:val="32"/>
        </w:rPr>
        <w:t>运行维护费</w:t>
      </w:r>
      <w:r>
        <w:rPr>
          <w:rFonts w:hint="eastAsia" w:ascii="仿宋_GB2312" w:eastAsia="仿宋_GB2312"/>
          <w:b w:val="0"/>
          <w:sz w:val="32"/>
          <w:szCs w:val="32"/>
          <w:lang w:val="en-US" w:eastAsia="zh-CN"/>
        </w:rPr>
        <w:t>增加</w:t>
      </w:r>
      <w:r>
        <w:rPr>
          <w:rFonts w:ascii="仿宋_GB2312" w:eastAsia="仿宋_GB2312"/>
          <w:b w:val="0"/>
          <w:sz w:val="32"/>
          <w:szCs w:val="32"/>
        </w:rPr>
        <w:t>；公务接待费支出0.00万元，占0.00%，与上年相比无变化，主要原因是：2024年与2025年均未安排公务接待费。</w:t>
      </w:r>
    </w:p>
    <w:p w14:paraId="09D281CD">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具体情况如下：</w:t>
      </w:r>
    </w:p>
    <w:p w14:paraId="2D1384D1">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因公出国（境）费用0.00万元，开支内容包括：本年无因公出国（境）费用。单位全年安排的因公出国（境）团组0个，因公出国（境）0人次。</w:t>
      </w:r>
    </w:p>
    <w:p w14:paraId="3F08E62E">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公务用车购置及运行维护费5.69万元，其中：公务用车购置费0.00万元，公务用车运行维护费5.69万元。公务用车运行维护费开支内容包括车辆维修费、车辆保险费等。公务用车购置数0辆，公务用车保有量7辆。国有资产占用情况中固定资产车辆7辆，与公务用车保有量差异原因是：本单位</w:t>
      </w:r>
      <w:r>
        <w:rPr>
          <w:rFonts w:hint="eastAsia" w:ascii="仿宋_GB2312" w:eastAsia="仿宋_GB2312"/>
          <w:b w:val="0"/>
          <w:sz w:val="32"/>
          <w:szCs w:val="32"/>
          <w:lang w:val="en-US" w:eastAsia="zh-CN"/>
        </w:rPr>
        <w:t>公务用车保有量与固定资产车辆一致无差异</w:t>
      </w:r>
      <w:r>
        <w:rPr>
          <w:rFonts w:ascii="仿宋_GB2312" w:eastAsia="仿宋_GB2312"/>
          <w:b w:val="0"/>
          <w:sz w:val="32"/>
          <w:szCs w:val="32"/>
        </w:rPr>
        <w:t>。</w:t>
      </w:r>
    </w:p>
    <w:p w14:paraId="5220C9D2">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公务接待费0.00万元，开支内容包括本单位无公务接待费。单位全年安排的国内公务接待0批次，0人次。</w:t>
      </w:r>
    </w:p>
    <w:p w14:paraId="0847C507">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与全年预算相比，财政拨款“三公”经费支出全年预算数5.69万元，决算数5.69万元，预决算差异率0.00%，主要原因是：</w:t>
      </w:r>
      <w:r>
        <w:rPr>
          <w:rFonts w:hint="eastAsia" w:ascii="仿宋_GB2312" w:eastAsia="仿宋_GB2312"/>
          <w:b w:val="0"/>
          <w:sz w:val="32"/>
          <w:szCs w:val="32"/>
          <w:lang w:val="en-US" w:eastAsia="zh-CN"/>
        </w:rPr>
        <w:t>严格按照预算执行，预决算无差异</w:t>
      </w:r>
      <w:r>
        <w:rPr>
          <w:rFonts w:ascii="仿宋_GB2312" w:eastAsia="仿宋_GB2312"/>
          <w:b w:val="0"/>
          <w:sz w:val="32"/>
          <w:szCs w:val="32"/>
        </w:rPr>
        <w:t>。其中：因公出国（境）费用全年预算数0.00万元，决算数0.00万元，预决算差异率0.00%，主要原因是：本单位</w:t>
      </w:r>
      <w:r>
        <w:rPr>
          <w:rFonts w:hint="eastAsia" w:ascii="仿宋_GB2312" w:eastAsia="仿宋_GB2312"/>
          <w:b w:val="0"/>
          <w:sz w:val="32"/>
          <w:szCs w:val="32"/>
          <w:lang w:val="en-US" w:eastAsia="zh-CN"/>
        </w:rPr>
        <w:t>无因公出国（境）费用</w:t>
      </w:r>
      <w:r>
        <w:rPr>
          <w:rFonts w:ascii="仿宋_GB2312" w:eastAsia="仿宋_GB2312"/>
          <w:b w:val="0"/>
          <w:sz w:val="32"/>
          <w:szCs w:val="32"/>
        </w:rPr>
        <w:t>；公务用车购置费全年预算数0.00万元，决算数0.00万元，预决算差异率0.00%，主要原因是：本单位无</w:t>
      </w:r>
      <w:r>
        <w:rPr>
          <w:rFonts w:hint="eastAsia" w:ascii="仿宋_GB2312" w:eastAsia="仿宋_GB2312"/>
          <w:b w:val="0"/>
          <w:sz w:val="32"/>
          <w:szCs w:val="32"/>
          <w:lang w:val="en-US" w:eastAsia="zh-CN"/>
        </w:rPr>
        <w:t>公务用车购置费</w:t>
      </w:r>
      <w:r>
        <w:rPr>
          <w:rFonts w:ascii="仿宋_GB2312" w:eastAsia="仿宋_GB2312"/>
          <w:b w:val="0"/>
          <w:sz w:val="32"/>
          <w:szCs w:val="32"/>
        </w:rPr>
        <w:t>；公务用车运行维护费全年预算数5.69万元，决算数5.69万元，预决算差异率0.00%，主要原因是：</w:t>
      </w:r>
      <w:r>
        <w:rPr>
          <w:rFonts w:hint="eastAsia" w:ascii="仿宋_GB2312" w:eastAsia="仿宋_GB2312"/>
          <w:b w:val="0"/>
          <w:sz w:val="32"/>
          <w:szCs w:val="32"/>
          <w:lang w:val="en-US" w:eastAsia="zh-CN"/>
        </w:rPr>
        <w:t>严格按照预算执行，预决算无差异</w:t>
      </w:r>
      <w:r>
        <w:rPr>
          <w:rFonts w:ascii="仿宋_GB2312" w:eastAsia="仿宋_GB2312"/>
          <w:b w:val="0"/>
          <w:sz w:val="32"/>
          <w:szCs w:val="32"/>
        </w:rPr>
        <w:t>；公务接待费全年预算数0.00万元，决算数0.00万元，预决算差异率0.00%，主要原因是：本单位无</w:t>
      </w:r>
      <w:r>
        <w:rPr>
          <w:rFonts w:hint="eastAsia" w:ascii="仿宋_GB2312" w:eastAsia="仿宋_GB2312"/>
          <w:b w:val="0"/>
          <w:sz w:val="32"/>
          <w:szCs w:val="32"/>
          <w:lang w:val="en-US" w:eastAsia="zh-CN"/>
        </w:rPr>
        <w:t>公务接待费</w:t>
      </w:r>
      <w:r>
        <w:rPr>
          <w:rFonts w:ascii="仿宋_GB2312" w:eastAsia="仿宋_GB2312"/>
          <w:b w:val="0"/>
          <w:sz w:val="32"/>
          <w:szCs w:val="32"/>
        </w:rPr>
        <w:t>。</w:t>
      </w:r>
    </w:p>
    <w:p w14:paraId="120ECD88">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十、其他重要事项的情况说明</w:t>
      </w:r>
    </w:p>
    <w:p w14:paraId="491AEDFF">
      <w:pPr>
        <w:widowControl/>
        <w:spacing w:before="0" w:beforeLines="0" w:beforeAutospacing="0" w:after="0" w:afterLines="0" w:afterAutospacing="0" w:line="240" w:lineRule="auto"/>
        <w:ind w:firstLine="640" w:firstLineChars="200"/>
        <w:jc w:val="both"/>
        <w:outlineLvl w:val="2"/>
        <w:rPr>
          <w:rFonts w:hint="eastAsia" w:ascii="黑体" w:eastAsia="黑体"/>
          <w:b w:val="0"/>
          <w:sz w:val="32"/>
          <w:szCs w:val="32"/>
          <w:lang w:eastAsia="zh-CN"/>
        </w:rPr>
      </w:pPr>
      <w:r>
        <w:rPr>
          <w:rFonts w:hint="eastAsia" w:ascii="黑体" w:eastAsia="黑体"/>
          <w:b w:val="0"/>
          <w:sz w:val="32"/>
          <w:szCs w:val="32"/>
          <w:lang w:eastAsia="zh-CN"/>
        </w:rPr>
        <w:t>（一）机关运行经费及公用经费支出情况</w:t>
      </w:r>
    </w:p>
    <w:p w14:paraId="25A69152">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2025年度新疆维吾尔自治区药物研究院（事业单位）公用经费支出228.28万元，比上年增加147.91万元，增长184.04%，主要原因是：根据相关文件精神，将三家单位整合组建新疆维吾尔自治区药物研究院，并入原新疆维吾尔自治区药物研究所和原新疆维吾尔自治区维吾尔医药研究所相关数据，导致公用经费支出增幅较大。</w:t>
      </w:r>
    </w:p>
    <w:p w14:paraId="2053A096">
      <w:pPr>
        <w:widowControl/>
        <w:spacing w:before="0" w:beforeLines="0" w:beforeAutospacing="0" w:after="0" w:afterLines="0" w:afterAutospacing="0" w:line="240" w:lineRule="auto"/>
        <w:ind w:firstLine="640" w:firstLineChars="200"/>
        <w:jc w:val="both"/>
        <w:outlineLvl w:val="2"/>
        <w:rPr>
          <w:rFonts w:hint="eastAsia" w:ascii="黑体" w:eastAsia="黑体"/>
          <w:b w:val="0"/>
          <w:sz w:val="32"/>
          <w:szCs w:val="32"/>
          <w:lang w:eastAsia="zh-CN"/>
        </w:rPr>
      </w:pPr>
      <w:r>
        <w:rPr>
          <w:rFonts w:hint="eastAsia" w:ascii="黑体" w:eastAsia="黑体"/>
          <w:b w:val="0"/>
          <w:sz w:val="32"/>
          <w:szCs w:val="32"/>
          <w:lang w:eastAsia="zh-CN"/>
        </w:rPr>
        <w:t>（二）政府采购情况</w:t>
      </w:r>
    </w:p>
    <w:p w14:paraId="69B33909">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2025年度政府采购支出总额27.22万元，其中：政府采购货物支出21.21万元、政府采购工程支出0.00万元、政府采购服务支出6.01万元。</w:t>
      </w:r>
    </w:p>
    <w:p w14:paraId="50DFC433">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授予中小企业合同金额22.85万元，占政府采购支出总额的83.95%，其中：授予小微企业合同金额17.01万元，占政府采购支出总额的62.49%。</w:t>
      </w:r>
    </w:p>
    <w:p w14:paraId="76DAB057">
      <w:pPr>
        <w:widowControl/>
        <w:spacing w:before="0" w:beforeLines="0" w:beforeAutospacing="0" w:after="0" w:afterLines="0" w:afterAutospacing="0" w:line="240" w:lineRule="auto"/>
        <w:ind w:firstLine="640" w:firstLineChars="200"/>
        <w:jc w:val="both"/>
        <w:outlineLvl w:val="2"/>
        <w:rPr>
          <w:rFonts w:hint="eastAsia" w:ascii="黑体" w:eastAsia="黑体"/>
          <w:b w:val="0"/>
          <w:sz w:val="32"/>
          <w:szCs w:val="32"/>
          <w:lang w:eastAsia="zh-CN"/>
        </w:rPr>
      </w:pPr>
      <w:r>
        <w:rPr>
          <w:rFonts w:hint="eastAsia" w:ascii="黑体" w:eastAsia="黑体"/>
          <w:b w:val="0"/>
          <w:sz w:val="32"/>
          <w:szCs w:val="32"/>
          <w:lang w:eastAsia="zh-CN"/>
        </w:rPr>
        <w:t>（三）国有资产占用情况说明</w:t>
      </w:r>
    </w:p>
    <w:p w14:paraId="6D14F9E1">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截至2025年12月31日，房屋25,643.17平方米，价值11,422.21万元。车辆7辆，价值122.47万元，其中：副部（省）级及以上领导用车0辆、主要负责人用车0辆、机要通信用车0辆、应急保障用车0辆、执法执勤用车0辆、特种专业技术用车0辆、离退休干部服务用车0辆、其他用车7辆，其他用车主要是：单位业务用车;单价100万元（含）以上设备（不含车辆）1台（套）。</w:t>
      </w:r>
    </w:p>
    <w:p w14:paraId="6111DD0E">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十一、预算绩效的情况说明</w:t>
      </w:r>
    </w:p>
    <w:p w14:paraId="49F8E908">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根据预算绩效管理要求，本单位2025年度预算绩效</w:t>
      </w:r>
      <w:r>
        <w:rPr>
          <w:rFonts w:hint="eastAsia" w:ascii="仿宋_GB2312" w:eastAsia="仿宋_GB2312"/>
          <w:b w:val="0"/>
          <w:sz w:val="32"/>
          <w:szCs w:val="32"/>
          <w:lang w:val="en-US" w:eastAsia="zh-CN"/>
        </w:rPr>
        <w:t>评价项目4</w:t>
      </w:r>
      <w:r>
        <w:rPr>
          <w:rFonts w:ascii="仿宋_GB2312" w:eastAsia="仿宋_GB2312"/>
          <w:b w:val="0"/>
          <w:sz w:val="32"/>
          <w:szCs w:val="32"/>
        </w:rPr>
        <w:t>个，全年预算</w:t>
      </w:r>
      <w:r>
        <w:rPr>
          <w:rFonts w:hint="eastAsia" w:ascii="仿宋_GB2312" w:eastAsia="仿宋_GB2312"/>
          <w:b w:val="0"/>
          <w:sz w:val="32"/>
          <w:szCs w:val="32"/>
          <w:lang w:val="en-US" w:eastAsia="zh-CN"/>
        </w:rPr>
        <w:t>数</w:t>
      </w:r>
      <w:r>
        <w:rPr>
          <w:rFonts w:ascii="仿宋_GB2312" w:eastAsia="仿宋_GB2312"/>
          <w:b w:val="0"/>
          <w:sz w:val="32"/>
          <w:szCs w:val="32"/>
        </w:rPr>
        <w:t>2,056</w:t>
      </w:r>
      <w:r>
        <w:rPr>
          <w:rFonts w:hint="eastAsia" w:ascii="仿宋_GB2312" w:eastAsia="仿宋_GB2312"/>
          <w:b w:val="0"/>
          <w:sz w:val="32"/>
          <w:szCs w:val="32"/>
          <w:lang w:val="en-US" w:eastAsia="zh-CN"/>
        </w:rPr>
        <w:t>.00</w:t>
      </w:r>
      <w:r>
        <w:rPr>
          <w:rFonts w:ascii="仿宋_GB2312" w:eastAsia="仿宋_GB2312"/>
          <w:b w:val="0"/>
          <w:sz w:val="32"/>
          <w:szCs w:val="32"/>
        </w:rPr>
        <w:t>万元，</w:t>
      </w:r>
      <w:r>
        <w:rPr>
          <w:rFonts w:hint="eastAsia" w:ascii="仿宋_GB2312" w:eastAsia="仿宋_GB2312"/>
          <w:b w:val="0"/>
          <w:sz w:val="32"/>
          <w:szCs w:val="32"/>
          <w:lang w:val="en-US" w:eastAsia="zh-CN"/>
        </w:rPr>
        <w:t>全年执行数</w:t>
      </w:r>
      <w:r>
        <w:rPr>
          <w:rFonts w:ascii="仿宋_GB2312" w:eastAsia="仿宋_GB2312"/>
          <w:b w:val="0"/>
          <w:sz w:val="32"/>
          <w:szCs w:val="32"/>
        </w:rPr>
        <w:t>2,056</w:t>
      </w:r>
      <w:r>
        <w:rPr>
          <w:rFonts w:hint="eastAsia" w:ascii="仿宋_GB2312" w:eastAsia="仿宋_GB2312"/>
          <w:b w:val="0"/>
          <w:sz w:val="32"/>
          <w:szCs w:val="32"/>
          <w:lang w:val="en-US" w:eastAsia="zh-CN"/>
        </w:rPr>
        <w:t>.00</w:t>
      </w:r>
      <w:r>
        <w:rPr>
          <w:rFonts w:ascii="仿宋_GB2312" w:eastAsia="仿宋_GB2312"/>
          <w:b w:val="0"/>
          <w:sz w:val="32"/>
          <w:szCs w:val="32"/>
        </w:rPr>
        <w:t>万元</w:t>
      </w:r>
      <w:r>
        <w:rPr>
          <w:rFonts w:hint="eastAsia" w:ascii="仿宋_GB2312" w:eastAsia="仿宋_GB2312"/>
          <w:b w:val="0"/>
          <w:sz w:val="32"/>
          <w:szCs w:val="32"/>
          <w:lang w:eastAsia="zh-CN"/>
        </w:rPr>
        <w:t>。</w:t>
      </w:r>
      <w:r>
        <w:rPr>
          <w:rFonts w:ascii="仿宋_GB2312" w:eastAsia="仿宋_GB2312"/>
          <w:b w:val="0"/>
          <w:sz w:val="32"/>
          <w:szCs w:val="32"/>
        </w:rPr>
        <w:t>预算绩效管理取得的成效：一是申请专利；二是培养研究生；三是发表学术论文；四是</w:t>
      </w:r>
      <w:r>
        <w:rPr>
          <w:rFonts w:hint="eastAsia" w:ascii="仿宋_GB2312" w:eastAsia="仿宋_GB2312"/>
          <w:b w:val="0"/>
          <w:sz w:val="32"/>
          <w:szCs w:val="32"/>
          <w:lang w:val="en-US" w:eastAsia="zh-CN"/>
        </w:rPr>
        <w:t>新增</w:t>
      </w:r>
      <w:r>
        <w:rPr>
          <w:rFonts w:ascii="仿宋_GB2312" w:eastAsia="仿宋_GB2312"/>
          <w:b w:val="0"/>
          <w:sz w:val="32"/>
          <w:szCs w:val="32"/>
        </w:rPr>
        <w:t>科研项目申报。发现的问题及原因：一是工作缺乏主动性和积极性</w:t>
      </w:r>
      <w:r>
        <w:rPr>
          <w:rFonts w:hint="eastAsia" w:ascii="仿宋_GB2312" w:eastAsia="仿宋_GB2312"/>
          <w:b w:val="0"/>
          <w:sz w:val="32"/>
          <w:szCs w:val="32"/>
          <w:lang w:eastAsia="zh-CN"/>
        </w:rPr>
        <w:t>；</w:t>
      </w:r>
      <w:r>
        <w:rPr>
          <w:rFonts w:ascii="仿宋_GB2312" w:eastAsia="仿宋_GB2312"/>
          <w:b w:val="0"/>
          <w:sz w:val="32"/>
          <w:szCs w:val="32"/>
        </w:rPr>
        <w:t>二是预算绩效跟踪不及时、不到位等问题。主要原因是绩效管理意识比较薄弱。下一步改进措施：</w:t>
      </w:r>
      <w:r>
        <w:rPr>
          <w:rFonts w:hint="eastAsia" w:ascii="仿宋_GB2312" w:eastAsia="仿宋_GB2312"/>
          <w:b w:val="0"/>
          <w:sz w:val="32"/>
          <w:szCs w:val="32"/>
          <w:lang w:val="en-US" w:eastAsia="zh-CN"/>
        </w:rPr>
        <w:t>一是</w:t>
      </w:r>
      <w:r>
        <w:rPr>
          <w:rFonts w:ascii="仿宋_GB2312" w:eastAsia="仿宋_GB2312"/>
          <w:b w:val="0"/>
          <w:sz w:val="32"/>
          <w:szCs w:val="32"/>
        </w:rPr>
        <w:t>在往后的工作中，应进一步增强绩效管理理念，高度重视项目绩效管理工作</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二是</w:t>
      </w:r>
      <w:r>
        <w:rPr>
          <w:rFonts w:ascii="仿宋_GB2312" w:eastAsia="仿宋_GB2312"/>
          <w:b w:val="0"/>
          <w:sz w:val="32"/>
          <w:szCs w:val="32"/>
        </w:rPr>
        <w:t>加强与各部门的协调和沟通，强化过程管理，提高服务水平，不断提高资金使用效益。具体附</w:t>
      </w:r>
      <w:r>
        <w:rPr>
          <w:rFonts w:hint="eastAsia" w:ascii="仿宋_GB2312" w:eastAsia="仿宋_GB2312"/>
          <w:b w:val="0"/>
          <w:sz w:val="32"/>
          <w:szCs w:val="32"/>
          <w:lang w:val="en-US" w:eastAsia="zh-CN"/>
        </w:rPr>
        <w:t>项目支出绩效自评表</w:t>
      </w:r>
      <w:r>
        <w:rPr>
          <w:rFonts w:ascii="仿宋_GB2312" w:eastAsia="仿宋_GB2312"/>
          <w:b w:val="0"/>
          <w:sz w:val="32"/>
          <w:szCs w:val="32"/>
        </w:rPr>
        <w:t>。</w:t>
      </w:r>
    </w:p>
    <w:p w14:paraId="21F69E36">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十二、其他需说明的事项</w:t>
      </w:r>
    </w:p>
    <w:p w14:paraId="6416672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pPr>
      <w:r>
        <w:rPr>
          <w:rFonts w:ascii="仿宋_GB2312" w:eastAsia="仿宋_GB2312"/>
          <w:b w:val="0"/>
          <w:sz w:val="32"/>
          <w:szCs w:val="32"/>
        </w:rPr>
        <w:t>本单位无其他需说明的事项。</w:t>
      </w:r>
      <w:r>
        <w:rPr>
          <w:b w:val="0"/>
          <w:sz w:val="0"/>
          <w:szCs w:val="0"/>
        </w:rPr>
        <w:br w:type="page"/>
      </w:r>
    </w:p>
    <w:p w14:paraId="2BE5D8AA">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0E8DB07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6D6A9A0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31D799D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390A68F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0690051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061695E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662C9A6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2992F54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w:t>
      </w:r>
      <w:bookmarkStart w:id="0" w:name="_GoBack"/>
      <w:r>
        <w:rPr>
          <w:rFonts w:ascii="仿宋_GB2312" w:eastAsia="仿宋_GB2312"/>
          <w:b w:val="0"/>
          <w:sz w:val="32"/>
          <w:szCs w:val="32"/>
        </w:rPr>
        <w:t>使用专用结余安排支出的金额。</w:t>
      </w:r>
    </w:p>
    <w:p w14:paraId="0A6F276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w:t>
      </w:r>
      <w:bookmarkEnd w:id="0"/>
      <w:r>
        <w:rPr>
          <w:rFonts w:ascii="仿宋_GB2312" w:eastAsia="仿宋_GB2312"/>
          <w:b w:val="0"/>
          <w:sz w:val="32"/>
          <w:szCs w:val="32"/>
        </w:rPr>
        <w:t>款结余或经营结余中提取各类结余的情况。</w:t>
      </w:r>
    </w:p>
    <w:p w14:paraId="09E7859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3B3C5F1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7B25C21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73B3A1E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62138C9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598DB949">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2094C8D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31FFBF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594468D8">
      <w:pPr>
        <w:widowControl/>
      </w:pPr>
      <w:r>
        <w:rPr>
          <w:b w:val="0"/>
          <w:sz w:val="0"/>
          <w:szCs w:val="0"/>
        </w:rPr>
        <w:br w:type="page"/>
      </w:r>
    </w:p>
    <w:p w14:paraId="2B5A751B">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15227B8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2754B2A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0D16A33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522E31F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63E2961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0A32D607">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65E7088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5F614B2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1592352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p w14:paraId="30E1768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outlineLvl w:val="1"/>
        <w:rPr>
          <w:rFonts w:ascii="仿宋_GB2312" w:eastAsia="仿宋_GB2312"/>
          <w:sz w:val="32"/>
          <w:szCs w:val="32"/>
        </w:rPr>
      </w:pP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000000"/>
    <w:rsid w:val="02350CC1"/>
    <w:rsid w:val="0A41219B"/>
    <w:rsid w:val="12C74642"/>
    <w:rsid w:val="15C54AC9"/>
    <w:rsid w:val="18576B04"/>
    <w:rsid w:val="194523AC"/>
    <w:rsid w:val="1F605C30"/>
    <w:rsid w:val="23400DD5"/>
    <w:rsid w:val="2F9673B2"/>
    <w:rsid w:val="311813D1"/>
    <w:rsid w:val="35DE4F44"/>
    <w:rsid w:val="36B357C8"/>
    <w:rsid w:val="3AF055AE"/>
    <w:rsid w:val="3D536596"/>
    <w:rsid w:val="3E1F2DA8"/>
    <w:rsid w:val="42546E67"/>
    <w:rsid w:val="42993D61"/>
    <w:rsid w:val="474D43C2"/>
    <w:rsid w:val="4DC9711D"/>
    <w:rsid w:val="7019691C"/>
    <w:rsid w:val="71687B5B"/>
    <w:rsid w:val="71A52EE1"/>
    <w:rsid w:val="72430F2C"/>
    <w:rsid w:val="75AE278A"/>
    <w:rsid w:val="7E1A37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annotation text"/>
    <w:basedOn w:val="1"/>
    <w:semiHidden/>
    <w:unhideWhenUsed/>
    <w:qFormat/>
    <w:uiPriority w:val="99"/>
    <w:pPr>
      <w:jc w:val="left"/>
    </w:pPr>
  </w:style>
  <w:style w:type="paragraph" w:styleId="9">
    <w:name w:val="header"/>
    <w:basedOn w:val="1"/>
    <w:link w:val="18"/>
    <w:unhideWhenUsed/>
    <w:qFormat/>
    <w:uiPriority w:val="99"/>
    <w:pPr>
      <w:tabs>
        <w:tab w:val="center" w:pos="4680"/>
        <w:tab w:val="right" w:pos="9360"/>
      </w:tabs>
    </w:pPr>
  </w:style>
  <w:style w:type="paragraph" w:styleId="10">
    <w:name w:val="toc 1"/>
    <w:basedOn w:val="1"/>
    <w:next w:val="1"/>
    <w:qFormat/>
    <w:uiPriority w:val="0"/>
  </w:style>
  <w:style w:type="paragraph" w:styleId="11">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2">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4">
    <w:name w:val="Table Grid"/>
    <w:basedOn w:val="13"/>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6">
    <w:name w:val="Emphasis"/>
    <w:basedOn w:val="15"/>
    <w:qFormat/>
    <w:uiPriority w:val="20"/>
    <w:rPr>
      <w:i/>
      <w:i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Header Char"/>
    <w:basedOn w:val="15"/>
    <w:link w:val="9"/>
    <w:qFormat/>
    <w:uiPriority w:val="99"/>
  </w:style>
  <w:style w:type="character" w:customStyle="1" w:styleId="19">
    <w:name w:val="Heading 1 Char"/>
    <w:basedOn w:val="15"/>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20">
    <w:name w:val="Heading 2 Char"/>
    <w:basedOn w:val="15"/>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1">
    <w:name w:val="Heading 3 Char"/>
    <w:basedOn w:val="15"/>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2">
    <w:name w:val="Heading 4 Char"/>
    <w:basedOn w:val="15"/>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3">
    <w:name w:val="Subtitle Char"/>
    <w:basedOn w:val="15"/>
    <w:link w:val="11"/>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4">
    <w:name w:val="Title Char"/>
    <w:basedOn w:val="15"/>
    <w:link w:val="12"/>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6689</Words>
  <Characters>7444</Characters>
  <TotalTime>4</TotalTime>
  <ScaleCrop>false</ScaleCrop>
  <LinksUpToDate>false</LinksUpToDate>
  <CharactersWithSpaces>7453</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2026-08-19T04:52:00Z</dcterms:created>
  <dc:creator>Administrator</dc:creator>
  <cp:lastModifiedBy>雨。</cp:lastModifiedBy>
  <dcterms:modified xsi:type="dcterms:W3CDTF">2026-08-29T13:03:02Z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ADD652ADE0A74EC084C972B8D74CCB73_13</vt:lpwstr>
  </property>
  <property fmtid="{D5CDD505-2E9C-101B-9397-08002B2CF9AE}" pid="4" name="KSOTemplateDocerSaveRecord">
    <vt:lpwstr>eyJoZGlkIjoiYTZjZThjMDFjYjU0NDRjYWE1YjFlZmFjNmU0NDBiYTgiLCJ1c2VySWQiOiI0NjExNzA3OTgifQ==</vt:lpwstr>
  </property>
</Properties>
</file>