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B55064">
      <w:pPr>
        <w:spacing w:line="540" w:lineRule="exact"/>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附件2：</w:t>
      </w:r>
    </w:p>
    <w:p w14:paraId="5AB110D4">
      <w:pPr>
        <w:spacing w:line="540" w:lineRule="exact"/>
        <w:jc w:val="center"/>
        <w:rPr>
          <w:rFonts w:ascii="华文中宋" w:hAnsi="华文中宋" w:eastAsia="华文中宋" w:cs="宋体"/>
          <w:b/>
          <w:color w:val="auto"/>
          <w:kern w:val="0"/>
          <w:sz w:val="52"/>
          <w:szCs w:val="52"/>
        </w:rPr>
      </w:pPr>
    </w:p>
    <w:p w14:paraId="33C14AA1">
      <w:pPr>
        <w:spacing w:line="540" w:lineRule="exact"/>
        <w:jc w:val="center"/>
        <w:rPr>
          <w:rFonts w:ascii="华文中宋" w:hAnsi="华文中宋" w:eastAsia="华文中宋" w:cs="宋体"/>
          <w:b/>
          <w:color w:val="auto"/>
          <w:kern w:val="0"/>
          <w:sz w:val="52"/>
          <w:szCs w:val="52"/>
        </w:rPr>
      </w:pPr>
    </w:p>
    <w:p w14:paraId="6128D650">
      <w:pPr>
        <w:spacing w:line="540" w:lineRule="exact"/>
        <w:jc w:val="center"/>
        <w:rPr>
          <w:rFonts w:ascii="华文中宋" w:hAnsi="华文中宋" w:eastAsia="华文中宋" w:cs="宋体"/>
          <w:b/>
          <w:color w:val="auto"/>
          <w:kern w:val="0"/>
          <w:sz w:val="52"/>
          <w:szCs w:val="52"/>
        </w:rPr>
      </w:pPr>
    </w:p>
    <w:p w14:paraId="7EA022AE">
      <w:pPr>
        <w:spacing w:line="540" w:lineRule="exact"/>
        <w:jc w:val="center"/>
        <w:rPr>
          <w:rFonts w:ascii="华文中宋" w:hAnsi="华文中宋" w:eastAsia="华文中宋" w:cs="宋体"/>
          <w:b/>
          <w:color w:val="auto"/>
          <w:kern w:val="0"/>
          <w:sz w:val="52"/>
          <w:szCs w:val="52"/>
        </w:rPr>
      </w:pPr>
    </w:p>
    <w:p w14:paraId="6B298E93">
      <w:pPr>
        <w:spacing w:line="540" w:lineRule="exact"/>
        <w:jc w:val="center"/>
        <w:rPr>
          <w:rFonts w:ascii="华文中宋" w:hAnsi="华文中宋" w:eastAsia="华文中宋" w:cs="宋体"/>
          <w:b/>
          <w:color w:val="auto"/>
          <w:kern w:val="0"/>
          <w:sz w:val="52"/>
          <w:szCs w:val="52"/>
        </w:rPr>
      </w:pPr>
    </w:p>
    <w:p w14:paraId="09989CD7">
      <w:pPr>
        <w:spacing w:line="540" w:lineRule="exact"/>
        <w:jc w:val="center"/>
        <w:rPr>
          <w:rFonts w:ascii="华文中宋" w:hAnsi="华文中宋" w:eastAsia="华文中宋" w:cs="宋体"/>
          <w:b/>
          <w:color w:val="auto"/>
          <w:kern w:val="0"/>
          <w:sz w:val="52"/>
          <w:szCs w:val="52"/>
        </w:rPr>
      </w:pPr>
    </w:p>
    <w:p w14:paraId="478E86F0">
      <w:pPr>
        <w:spacing w:line="540" w:lineRule="exact"/>
        <w:jc w:val="center"/>
        <w:rPr>
          <w:rFonts w:ascii="方正小标宋_GBK" w:hAnsi="华文中宋" w:eastAsia="方正小标宋_GBK" w:cs="宋体"/>
          <w:b/>
          <w:color w:val="auto"/>
          <w:kern w:val="0"/>
          <w:sz w:val="48"/>
          <w:szCs w:val="48"/>
        </w:rPr>
      </w:pPr>
      <w:r>
        <w:rPr>
          <w:rFonts w:hint="eastAsia" w:ascii="方正小标宋_GBK" w:hAnsi="华文中宋" w:eastAsia="方正小标宋_GBK" w:cs="宋体"/>
          <w:b/>
          <w:color w:val="auto"/>
          <w:kern w:val="0"/>
          <w:sz w:val="48"/>
          <w:szCs w:val="48"/>
        </w:rPr>
        <w:t>自治区财政项目支出绩效自评报告</w:t>
      </w:r>
    </w:p>
    <w:p w14:paraId="3BCFF96B">
      <w:pPr>
        <w:spacing w:line="540" w:lineRule="exact"/>
        <w:jc w:val="center"/>
        <w:rPr>
          <w:rFonts w:ascii="华文中宋" w:hAnsi="华文中宋" w:eastAsia="华文中宋" w:cs="宋体"/>
          <w:b/>
          <w:color w:val="auto"/>
          <w:kern w:val="0"/>
          <w:sz w:val="52"/>
          <w:szCs w:val="52"/>
        </w:rPr>
      </w:pPr>
    </w:p>
    <w:p w14:paraId="0805C5D0">
      <w:pPr>
        <w:spacing w:line="540" w:lineRule="exact"/>
        <w:jc w:val="center"/>
        <w:rPr>
          <w:rFonts w:hAnsi="宋体" w:eastAsia="仿宋_GB2312" w:cs="宋体"/>
          <w:color w:val="auto"/>
          <w:kern w:val="0"/>
          <w:sz w:val="36"/>
          <w:szCs w:val="36"/>
        </w:rPr>
      </w:pPr>
      <w:r>
        <w:rPr>
          <w:rFonts w:hint="eastAsia" w:hAnsi="宋体" w:eastAsia="仿宋_GB2312" w:cs="宋体"/>
          <w:color w:val="auto"/>
          <w:kern w:val="0"/>
          <w:sz w:val="36"/>
          <w:szCs w:val="36"/>
        </w:rPr>
        <w:t>（</w:t>
      </w:r>
      <w:r>
        <w:rPr>
          <w:rFonts w:hint="eastAsia" w:hAnsi="宋体" w:eastAsia="仿宋_GB2312" w:cs="宋体"/>
          <w:color w:val="auto"/>
          <w:kern w:val="0"/>
          <w:sz w:val="36"/>
          <w:szCs w:val="36"/>
          <w:lang w:val="en-US" w:eastAsia="zh-CN"/>
        </w:rPr>
        <w:t>2025</w:t>
      </w:r>
      <w:r>
        <w:rPr>
          <w:rFonts w:hint="eastAsia" w:hAnsi="宋体" w:eastAsia="仿宋_GB2312" w:cs="宋体"/>
          <w:color w:val="auto"/>
          <w:kern w:val="0"/>
          <w:sz w:val="36"/>
          <w:szCs w:val="36"/>
        </w:rPr>
        <w:t>年度）</w:t>
      </w:r>
    </w:p>
    <w:p w14:paraId="4FE4AED4">
      <w:pPr>
        <w:spacing w:line="540" w:lineRule="exact"/>
        <w:jc w:val="center"/>
        <w:rPr>
          <w:rFonts w:hAnsi="宋体" w:eastAsia="仿宋_GB2312" w:cs="宋体"/>
          <w:color w:val="auto"/>
          <w:kern w:val="0"/>
          <w:sz w:val="30"/>
          <w:szCs w:val="30"/>
        </w:rPr>
      </w:pPr>
    </w:p>
    <w:p w14:paraId="27FE0267">
      <w:pPr>
        <w:spacing w:line="540" w:lineRule="exact"/>
        <w:jc w:val="center"/>
        <w:rPr>
          <w:rFonts w:hAnsi="宋体" w:eastAsia="仿宋_GB2312" w:cs="宋体"/>
          <w:color w:val="auto"/>
          <w:kern w:val="0"/>
          <w:sz w:val="30"/>
          <w:szCs w:val="30"/>
        </w:rPr>
      </w:pPr>
    </w:p>
    <w:p w14:paraId="62DBEC62">
      <w:pPr>
        <w:spacing w:line="540" w:lineRule="exact"/>
        <w:jc w:val="center"/>
        <w:rPr>
          <w:rFonts w:ascii="方正小标宋_GBK" w:hAnsi="宋体" w:eastAsia="方正小标宋_GBK" w:cs="宋体"/>
          <w:color w:val="auto"/>
          <w:kern w:val="0"/>
          <w:sz w:val="36"/>
          <w:szCs w:val="36"/>
        </w:rPr>
      </w:pPr>
    </w:p>
    <w:p w14:paraId="475BE4F2">
      <w:pPr>
        <w:spacing w:line="540" w:lineRule="exact"/>
        <w:jc w:val="center"/>
        <w:rPr>
          <w:rFonts w:hAnsi="宋体" w:eastAsia="仿宋_GB2312" w:cs="宋体"/>
          <w:color w:val="auto"/>
          <w:kern w:val="0"/>
          <w:sz w:val="30"/>
          <w:szCs w:val="30"/>
        </w:rPr>
      </w:pPr>
    </w:p>
    <w:p w14:paraId="517EB339">
      <w:pPr>
        <w:spacing w:line="540" w:lineRule="exact"/>
        <w:jc w:val="center"/>
        <w:rPr>
          <w:rFonts w:hAnsi="宋体" w:eastAsia="仿宋_GB2312" w:cs="宋体"/>
          <w:color w:val="auto"/>
          <w:kern w:val="0"/>
          <w:sz w:val="30"/>
          <w:szCs w:val="30"/>
        </w:rPr>
      </w:pPr>
    </w:p>
    <w:p w14:paraId="0BBF5DE1">
      <w:pPr>
        <w:spacing w:line="540" w:lineRule="exact"/>
        <w:jc w:val="center"/>
        <w:rPr>
          <w:rFonts w:hAnsi="宋体" w:eastAsia="仿宋_GB2312" w:cs="宋体"/>
          <w:color w:val="auto"/>
          <w:kern w:val="0"/>
          <w:sz w:val="30"/>
          <w:szCs w:val="30"/>
        </w:rPr>
      </w:pPr>
    </w:p>
    <w:p w14:paraId="12BD583F">
      <w:pPr>
        <w:spacing w:line="540" w:lineRule="exact"/>
        <w:rPr>
          <w:rFonts w:hAnsi="宋体" w:eastAsia="仿宋_GB2312" w:cs="宋体"/>
          <w:color w:val="auto"/>
          <w:kern w:val="0"/>
          <w:sz w:val="30"/>
          <w:szCs w:val="30"/>
        </w:rPr>
      </w:pPr>
    </w:p>
    <w:p w14:paraId="3C612FB7">
      <w:pPr>
        <w:spacing w:line="700" w:lineRule="exact"/>
        <w:jc w:val="left"/>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p>
    <w:p w14:paraId="28E24D46">
      <w:pPr>
        <w:spacing w:line="700" w:lineRule="exact"/>
        <w:ind w:firstLine="900" w:firstLineChars="250"/>
        <w:jc w:val="left"/>
        <w:rPr>
          <w:rFonts w:hint="default" w:hAnsi="宋体" w:eastAsia="仿宋_GB2312" w:cs="宋体"/>
          <w:color w:val="auto"/>
          <w:kern w:val="0"/>
          <w:sz w:val="36"/>
          <w:szCs w:val="36"/>
          <w:lang w:val="en-US" w:eastAsia="zh-CN"/>
        </w:rPr>
      </w:pPr>
      <w:r>
        <w:rPr>
          <w:rFonts w:hint="eastAsia" w:hAnsi="宋体" w:eastAsia="仿宋_GB2312" w:cs="宋体"/>
          <w:color w:val="auto"/>
          <w:kern w:val="0"/>
          <w:sz w:val="36"/>
          <w:szCs w:val="36"/>
        </w:rPr>
        <w:t>项目名称：</w:t>
      </w:r>
      <w:r>
        <w:rPr>
          <w:rFonts w:hint="eastAsia" w:hAnsi="宋体" w:eastAsia="仿宋_GB2312" w:cs="宋体"/>
          <w:color w:val="auto"/>
          <w:kern w:val="0"/>
          <w:sz w:val="36"/>
          <w:szCs w:val="36"/>
          <w:lang w:val="en-US" w:eastAsia="zh-CN"/>
        </w:rPr>
        <w:t>新疆分析测试研究院工作经费</w:t>
      </w:r>
    </w:p>
    <w:p w14:paraId="2115EF24">
      <w:pPr>
        <w:spacing w:line="540" w:lineRule="exact"/>
        <w:ind w:firstLine="567"/>
        <w:rPr>
          <w:rFonts w:ascii="楷体" w:hAnsi="楷体" w:eastAsia="楷体"/>
          <w:b/>
          <w:bCs/>
          <w:color w:val="auto"/>
          <w:spacing w:val="-4"/>
          <w:sz w:val="32"/>
          <w:szCs w:val="32"/>
        </w:rPr>
      </w:pPr>
      <w:r>
        <w:rPr>
          <w:rFonts w:hint="eastAsia" w:hAnsi="宋体" w:eastAsia="仿宋_GB2312" w:cs="宋体"/>
          <w:color w:val="auto"/>
          <w:kern w:val="0"/>
          <w:sz w:val="36"/>
          <w:szCs w:val="36"/>
        </w:rPr>
        <w:t xml:space="preserve">  实施单位（公章）：新疆维吾尔自治区科技资源共享服务中心</w:t>
      </w:r>
    </w:p>
    <w:p w14:paraId="7044BDB6">
      <w:pPr>
        <w:spacing w:line="540" w:lineRule="exact"/>
        <w:ind w:firstLine="900" w:firstLineChars="250"/>
        <w:rPr>
          <w:rFonts w:ascii="楷体" w:hAnsi="楷体" w:eastAsia="楷体"/>
          <w:b/>
          <w:bCs/>
          <w:color w:val="auto"/>
          <w:spacing w:val="-4"/>
          <w:sz w:val="28"/>
          <w:szCs w:val="28"/>
        </w:rPr>
      </w:pPr>
      <w:r>
        <w:rPr>
          <w:rFonts w:hint="eastAsia" w:hAnsi="宋体" w:eastAsia="仿宋_GB2312" w:cs="宋体"/>
          <w:color w:val="auto"/>
          <w:kern w:val="0"/>
          <w:sz w:val="36"/>
          <w:szCs w:val="36"/>
        </w:rPr>
        <w:t>主管部门（公章）：新疆维吾尔自治区科学技术厅</w:t>
      </w:r>
    </w:p>
    <w:p w14:paraId="630E186A">
      <w:pPr>
        <w:spacing w:line="540" w:lineRule="exact"/>
        <w:ind w:firstLine="900" w:firstLineChars="250"/>
        <w:rPr>
          <w:rFonts w:ascii="楷体" w:hAnsi="楷体" w:eastAsia="楷体"/>
          <w:b/>
          <w:bCs/>
          <w:color w:val="auto"/>
          <w:spacing w:val="-4"/>
          <w:sz w:val="32"/>
          <w:szCs w:val="32"/>
        </w:rPr>
      </w:pPr>
      <w:r>
        <w:rPr>
          <w:rFonts w:hint="eastAsia" w:hAnsi="宋体" w:eastAsia="仿宋_GB2312" w:cs="宋体"/>
          <w:color w:val="auto"/>
          <w:kern w:val="0"/>
          <w:sz w:val="36"/>
          <w:szCs w:val="36"/>
        </w:rPr>
        <w:t>项目负责人（签章）：</w:t>
      </w:r>
    </w:p>
    <w:p w14:paraId="62242EBC">
      <w:pPr>
        <w:spacing w:line="540" w:lineRule="exact"/>
        <w:ind w:left="273" w:firstLine="567"/>
        <w:rPr>
          <w:rStyle w:val="18"/>
          <w:rFonts w:hint="default" w:ascii="楷体" w:hAnsi="楷体" w:eastAsia="仿宋_GB2312"/>
          <w:color w:val="auto"/>
          <w:spacing w:val="-4"/>
          <w:sz w:val="32"/>
          <w:szCs w:val="32"/>
          <w:lang w:val="en-US" w:eastAsia="zh-CN"/>
        </w:rPr>
      </w:pPr>
      <w:r>
        <w:rPr>
          <w:rFonts w:hint="eastAsia" w:hAnsi="宋体" w:eastAsia="仿宋_GB2312" w:cs="宋体"/>
          <w:color w:val="auto"/>
          <w:kern w:val="0"/>
          <w:sz w:val="36"/>
          <w:szCs w:val="36"/>
        </w:rPr>
        <w:t>填报时间：</w:t>
      </w:r>
      <w:r>
        <w:rPr>
          <w:rFonts w:hint="eastAsia" w:hAnsi="宋体" w:eastAsia="仿宋_GB2312" w:cs="宋体"/>
          <w:color w:val="auto"/>
          <w:kern w:val="0"/>
          <w:sz w:val="36"/>
          <w:szCs w:val="36"/>
          <w:lang w:val="en-US" w:eastAsia="zh-CN"/>
        </w:rPr>
        <w:t>2026年3月23日</w:t>
      </w:r>
    </w:p>
    <w:p w14:paraId="23414C84">
      <w:pPr>
        <w:spacing w:line="700" w:lineRule="exact"/>
        <w:ind w:firstLine="708" w:firstLineChars="236"/>
        <w:jc w:val="left"/>
        <w:rPr>
          <w:rFonts w:hAnsi="宋体" w:eastAsia="仿宋_GB2312" w:cs="宋体"/>
          <w:color w:val="auto"/>
          <w:kern w:val="0"/>
          <w:sz w:val="30"/>
          <w:szCs w:val="30"/>
        </w:rPr>
      </w:pPr>
    </w:p>
    <w:p w14:paraId="114ACE4F">
      <w:pPr>
        <w:spacing w:line="540" w:lineRule="exact"/>
        <w:rPr>
          <w:rStyle w:val="18"/>
          <w:rFonts w:ascii="黑体" w:hAnsi="黑体" w:eastAsia="黑体"/>
          <w:b w:val="0"/>
          <w:color w:val="auto"/>
          <w:spacing w:val="-4"/>
          <w:sz w:val="32"/>
          <w:szCs w:val="32"/>
        </w:rPr>
      </w:pPr>
    </w:p>
    <w:p w14:paraId="3CC3A55E">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一、基本情况</w:t>
      </w:r>
    </w:p>
    <w:p w14:paraId="10683E39">
      <w:pPr>
        <w:spacing w:line="560" w:lineRule="exact"/>
        <w:ind w:firstLine="627" w:firstLineChars="200"/>
        <w:rPr>
          <w:rStyle w:val="18"/>
          <w:rFonts w:ascii="仿宋_GB2312" w:hAnsi="楷体" w:eastAsia="仿宋_GB2312"/>
          <w:b w:val="0"/>
          <w:color w:val="auto"/>
          <w:spacing w:val="-4"/>
          <w:sz w:val="32"/>
          <w:szCs w:val="32"/>
        </w:rPr>
      </w:pPr>
      <w:r>
        <w:rPr>
          <w:rStyle w:val="18"/>
          <w:rFonts w:hint="eastAsia" w:ascii="楷体" w:hAnsi="楷体" w:eastAsia="楷体"/>
          <w:color w:val="auto"/>
          <w:spacing w:val="-4"/>
          <w:sz w:val="32"/>
          <w:szCs w:val="32"/>
        </w:rPr>
        <w:t>（一）项目概况。</w:t>
      </w:r>
      <w:r>
        <w:rPr>
          <w:rStyle w:val="18"/>
          <w:rFonts w:hint="eastAsia" w:ascii="仿宋_GB2312" w:hAnsi="楷体" w:eastAsia="仿宋_GB2312"/>
          <w:b w:val="0"/>
          <w:color w:val="auto"/>
          <w:spacing w:val="-4"/>
          <w:sz w:val="32"/>
          <w:szCs w:val="32"/>
        </w:rPr>
        <w:t>新疆维吾尔自治区科技资源共享服务中心成立于 1978 年 8 月，单位的主要任务是为自治区经济社会发展提供科技资源共享服务。科技资源共享、分析科学领域新技术、新方法推广应用。新疆维吾尔自治区科技资源共享服务中心无下属预算单位，下设8个科室，分别是：科技资源共享部、综合办公室、财务人事部、食品营养与安全研究部、资源与环境研究部、天然产物研究部、业务发展部、质量技术管理部。</w:t>
      </w:r>
    </w:p>
    <w:p w14:paraId="55AB4175">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聚焦群众关切的食品安全问题分别走访20多家农产品加工企业，开展调研，了解企业的科研需求。依托重点实验室和工程技术研究中心，开展技术研究，应用于我区枸杞、肉苁蓉、恰玛古、驼奶、虹鳟的品质评价</w:t>
      </w:r>
      <w:bookmarkStart w:id="0" w:name="_GoBack"/>
      <w:bookmarkEnd w:id="0"/>
      <w:r>
        <w:rPr>
          <w:rStyle w:val="18"/>
          <w:rFonts w:hint="eastAsia" w:ascii="仿宋_GB2312" w:hAnsi="楷体" w:eastAsia="仿宋_GB2312" w:cs="Times New Roman"/>
          <w:b w:val="0"/>
          <w:color w:val="auto"/>
          <w:spacing w:val="-4"/>
          <w:sz w:val="32"/>
          <w:szCs w:val="32"/>
          <w:lang w:val="en-US" w:eastAsia="zh-CN"/>
        </w:rPr>
        <w:t>、功能成分分离及产品开发。</w:t>
      </w:r>
    </w:p>
    <w:p w14:paraId="2E26A88B">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积极探索检验检测机构在企业产品开发、小试、中试、定型评价等研发阶段的服务模式，投入建立了中试实验室，为衔接实验室与工业化生产，验证工艺可行性、优化参数、评估放大风险，降低企业量产失败成本。建立农产品加工中试生产线2条。</w:t>
      </w:r>
    </w:p>
    <w:p w14:paraId="14A1C999">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积极开展引智工作。我中心和中国农科院西部中心联合承担了农业农村部“2025年新疆生态环境监测项目”，目前正在实施中；本年度实施小组团援疆计划项目2项，引智初有成效，在原产地认证、风险因子分析、标准研究、代谢组学研究方面取得进展，后期将吸取经验，更高效地发挥援疆团队的技术优势。此外区内引智工作也取得一定成果，建立与新疆大学软件学院的合作，引入生物信息学、人工智能技术，与我中心特色资源开发结合，提升研究水平，解决技术难题。</w:t>
      </w:r>
    </w:p>
    <w:p w14:paraId="64CBDD0C">
      <w:pPr>
        <w:spacing w:line="560" w:lineRule="exact"/>
        <w:ind w:firstLine="624" w:firstLineChars="200"/>
        <w:rPr>
          <w:rStyle w:val="18"/>
          <w:rFonts w:ascii="楷体" w:hAnsi="楷体" w:eastAsia="楷体"/>
          <w:color w:val="auto"/>
          <w:spacing w:val="-4"/>
          <w:sz w:val="32"/>
          <w:szCs w:val="32"/>
        </w:rPr>
      </w:pPr>
      <w:r>
        <w:rPr>
          <w:rStyle w:val="18"/>
          <w:rFonts w:hint="eastAsia" w:ascii="仿宋_GB2312" w:hAnsi="楷体" w:eastAsia="仿宋_GB2312" w:cs="Times New Roman"/>
          <w:b w:val="0"/>
          <w:color w:val="auto"/>
          <w:spacing w:val="-4"/>
          <w:sz w:val="32"/>
          <w:szCs w:val="32"/>
          <w:lang w:val="en-US" w:eastAsia="zh-CN"/>
        </w:rPr>
        <w:t>承担完成四次全疆19个县（市）农产品质量安全检验检测工作，10个地县级食品监督抽检任务，线下7个县市抽检任务，共计样品12081批次，检出不合格样品161批次。</w:t>
      </w:r>
    </w:p>
    <w:p w14:paraId="2D1BEEFA">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（二）项目绩效目标。</w:t>
      </w:r>
    </w:p>
    <w:p w14:paraId="285F301B">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总体目标为完成单位日常运行的共享服务的职能，对检测检验的食品、农产品、环境、土壤等样品的服务工作，弥补新疆科技资源共享服务中心业务日常运行经费的不足。</w:t>
      </w:r>
    </w:p>
    <w:p w14:paraId="5C749DB0">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年终完成服务客户数1618家，完成检测报告数量14588份，完成检测项次共计377682个，购置设备数量10台套，检测质量及检测报告合格率达100%，检测报告延误率为0，设备质量合格率100%，设备利用率达到78%，服务客户及使用人员满意度均达到100%</w:t>
      </w:r>
    </w:p>
    <w:p w14:paraId="0E452DBD">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w:t>
      </w:r>
      <w:r>
        <w:rPr>
          <w:rStyle w:val="18"/>
          <w:rFonts w:hint="eastAsia"/>
          <w:color w:val="auto"/>
          <w:spacing w:val="-4"/>
          <w:sz w:val="32"/>
          <w:szCs w:val="32"/>
        </w:rPr>
        <w:t>绩效评价工作开展情况</w:t>
      </w:r>
    </w:p>
    <w:p w14:paraId="5973906D">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（一）绩效评价目的、对象和范围。</w:t>
      </w:r>
    </w:p>
    <w:p w14:paraId="56F25CB5">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default" w:ascii="仿宋_GB2312" w:hAnsi="楷体" w:eastAsia="仿宋_GB2312" w:cs="Times New Roman"/>
          <w:b w:val="0"/>
          <w:color w:val="auto"/>
          <w:spacing w:val="-4"/>
          <w:sz w:val="32"/>
          <w:szCs w:val="32"/>
          <w:lang w:val="en-US" w:eastAsia="zh-CN"/>
        </w:rPr>
        <w:t>围绕自治区优势资源，联合企业开展科研工作。不断加强科技创新平台建设。加强重点实验室和工程技术中心的科研能力建设。利用单位的大型仪器设备，开展科技资源共享服务。加强</w:t>
      </w:r>
      <w:r>
        <w:rPr>
          <w:rStyle w:val="18"/>
          <w:rFonts w:hint="eastAsia" w:ascii="仿宋_GB2312" w:hAnsi="楷体" w:eastAsia="仿宋_GB2312" w:cs="Times New Roman"/>
          <w:b w:val="0"/>
          <w:color w:val="auto"/>
          <w:spacing w:val="-4"/>
          <w:sz w:val="32"/>
          <w:szCs w:val="32"/>
          <w:lang w:val="en-US" w:eastAsia="zh-CN"/>
        </w:rPr>
        <w:t>高水平科技开放合作</w:t>
      </w:r>
      <w:r>
        <w:rPr>
          <w:rStyle w:val="18"/>
          <w:rFonts w:hint="default" w:ascii="仿宋_GB2312" w:hAnsi="楷体" w:eastAsia="仿宋_GB2312" w:cs="Times New Roman"/>
          <w:b w:val="0"/>
          <w:color w:val="auto"/>
          <w:spacing w:val="-4"/>
          <w:sz w:val="32"/>
          <w:szCs w:val="32"/>
          <w:lang w:val="en-US" w:eastAsia="zh-CN"/>
        </w:rPr>
        <w:t>。不断促进科技成果转化。注重人才培养，激发科研人员积极性。</w:t>
      </w:r>
    </w:p>
    <w:p w14:paraId="2BEA2E9D">
      <w:pPr>
        <w:numPr>
          <w:ilvl w:val="0"/>
          <w:numId w:val="1"/>
        </w:numPr>
        <w:spacing w:line="540" w:lineRule="exact"/>
        <w:ind w:firstLine="567" w:firstLineChars="181"/>
        <w:rPr>
          <w:rStyle w:val="18"/>
          <w:rFonts w:hint="eastAsia" w:ascii="楷体" w:hAnsi="楷体" w:eastAsia="楷体"/>
          <w:color w:val="auto"/>
          <w:spacing w:val="-4"/>
          <w:sz w:val="32"/>
          <w:szCs w:val="32"/>
        </w:rPr>
      </w:pPr>
      <w:r>
        <w:rPr>
          <w:rStyle w:val="18"/>
          <w:rFonts w:hint="eastAsia" w:ascii="楷体" w:hAnsi="楷体" w:eastAsia="楷体"/>
          <w:color w:val="auto"/>
          <w:spacing w:val="-4"/>
          <w:sz w:val="32"/>
          <w:szCs w:val="32"/>
        </w:rPr>
        <w:t>绩效评价原则、评价指标体系（附表说明）、评价方法、评价标准等。</w:t>
      </w:r>
    </w:p>
    <w:p w14:paraId="18480D90">
      <w:pPr>
        <w:spacing w:line="560" w:lineRule="exact"/>
        <w:ind w:firstLine="624" w:firstLineChars="200"/>
        <w:rPr>
          <w:rStyle w:val="18"/>
          <w:rFonts w:hint="default"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依照往年本单位共享服务及检测样品的能力，预估2025年自有资金项目3000万元。</w:t>
      </w:r>
    </w:p>
    <w:p w14:paraId="59546B32">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（三）绩效评价工作过程。</w:t>
      </w:r>
    </w:p>
    <w:p w14:paraId="1C2986C5">
      <w:pPr>
        <w:spacing w:line="560" w:lineRule="exact"/>
        <w:ind w:firstLine="624" w:firstLineChars="200"/>
        <w:rPr>
          <w:rStyle w:val="18"/>
          <w:rFonts w:hint="default" w:ascii="仿宋_GB2312" w:hAnsi="楷体" w:eastAsia="仿宋_GB2312" w:cs="Times New Roman"/>
          <w:b w:val="0"/>
          <w:color w:val="auto"/>
          <w:spacing w:val="-4"/>
          <w:sz w:val="32"/>
          <w:szCs w:val="32"/>
          <w:lang w:val="en-US" w:eastAsia="zh-CN"/>
        </w:rPr>
      </w:pPr>
      <w:r>
        <w:rPr>
          <w:rStyle w:val="18"/>
          <w:rFonts w:hint="default" w:ascii="仿宋_GB2312" w:hAnsi="楷体" w:eastAsia="仿宋_GB2312" w:cs="Times New Roman"/>
          <w:b w:val="0"/>
          <w:color w:val="auto"/>
          <w:spacing w:val="-4"/>
          <w:sz w:val="32"/>
          <w:szCs w:val="32"/>
          <w:lang w:val="en-US" w:eastAsia="zh-CN"/>
        </w:rPr>
        <w:t>产出指标主要包含服务客户的数量、完成检测任务的情况等，本次评价实际完成已达标，系全年检测结果的体现。</w:t>
      </w:r>
    </w:p>
    <w:p w14:paraId="0B66A128">
      <w:pPr>
        <w:spacing w:line="540" w:lineRule="exact"/>
        <w:ind w:firstLine="640"/>
        <w:rPr>
          <w:rStyle w:val="18"/>
          <w:rFonts w:hint="eastAsia" w:ascii="黑体" w:hAnsi="黑体" w:eastAsia="黑体"/>
          <w:b w:val="0"/>
          <w:color w:val="auto"/>
          <w:spacing w:val="-4"/>
          <w:sz w:val="32"/>
          <w:szCs w:val="32"/>
        </w:rPr>
      </w:pPr>
      <w:r>
        <w:rPr>
          <w:rStyle w:val="18"/>
          <w:rFonts w:hint="eastAsia" w:ascii="黑体" w:hAnsi="黑体" w:eastAsia="黑体"/>
          <w:b w:val="0"/>
          <w:color w:val="auto"/>
          <w:spacing w:val="-4"/>
          <w:sz w:val="32"/>
          <w:szCs w:val="32"/>
        </w:rPr>
        <w:t>三、</w:t>
      </w:r>
      <w:r>
        <w:rPr>
          <w:rStyle w:val="18"/>
          <w:rFonts w:hint="eastAsia"/>
          <w:color w:val="auto"/>
          <w:spacing w:val="-4"/>
          <w:sz w:val="32"/>
          <w:szCs w:val="32"/>
        </w:rPr>
        <w:t>综合评价情况及评价结论</w:t>
      </w:r>
    </w:p>
    <w:p w14:paraId="538D914D">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default" w:ascii="仿宋_GB2312" w:hAnsi="楷体" w:eastAsia="仿宋_GB2312" w:cs="Times New Roman"/>
          <w:b w:val="0"/>
          <w:color w:val="auto"/>
          <w:spacing w:val="-4"/>
          <w:sz w:val="32"/>
          <w:szCs w:val="32"/>
          <w:lang w:val="en-US" w:eastAsia="zh-CN"/>
        </w:rPr>
        <w:t>202</w:t>
      </w:r>
      <w:r>
        <w:rPr>
          <w:rStyle w:val="18"/>
          <w:rFonts w:hint="eastAsia" w:ascii="仿宋_GB2312" w:hAnsi="楷体" w:eastAsia="仿宋_GB2312" w:cs="Times New Roman"/>
          <w:b w:val="0"/>
          <w:color w:val="auto"/>
          <w:spacing w:val="-4"/>
          <w:sz w:val="32"/>
          <w:szCs w:val="32"/>
          <w:lang w:val="en-US" w:eastAsia="zh-CN"/>
        </w:rPr>
        <w:t>5</w:t>
      </w:r>
      <w:r>
        <w:rPr>
          <w:rStyle w:val="18"/>
          <w:rFonts w:hint="default" w:ascii="仿宋_GB2312" w:hAnsi="楷体" w:eastAsia="仿宋_GB2312" w:cs="Times New Roman"/>
          <w:b w:val="0"/>
          <w:color w:val="auto"/>
          <w:spacing w:val="-4"/>
          <w:sz w:val="32"/>
          <w:szCs w:val="32"/>
          <w:lang w:val="en-US" w:eastAsia="zh-CN"/>
        </w:rPr>
        <w:t>年度部门整体支出绩效自评综合得分</w:t>
      </w:r>
      <w:r>
        <w:rPr>
          <w:rStyle w:val="18"/>
          <w:rFonts w:hint="eastAsia" w:ascii="仿宋_GB2312" w:hAnsi="楷体" w:eastAsia="仿宋_GB2312" w:cs="Times New Roman"/>
          <w:b w:val="0"/>
          <w:color w:val="auto"/>
          <w:spacing w:val="-4"/>
          <w:sz w:val="32"/>
          <w:szCs w:val="32"/>
          <w:lang w:val="en-US" w:eastAsia="zh-CN"/>
        </w:rPr>
        <w:t>100</w:t>
      </w:r>
      <w:r>
        <w:rPr>
          <w:rStyle w:val="18"/>
          <w:rFonts w:hint="default" w:ascii="仿宋_GB2312" w:hAnsi="楷体" w:eastAsia="仿宋_GB2312" w:cs="Times New Roman"/>
          <w:b w:val="0"/>
          <w:color w:val="auto"/>
          <w:spacing w:val="-4"/>
          <w:sz w:val="32"/>
          <w:szCs w:val="32"/>
          <w:lang w:val="en-US" w:eastAsia="zh-CN"/>
        </w:rPr>
        <w:t>分，评价结果为“</w:t>
      </w:r>
      <w:r>
        <w:rPr>
          <w:rStyle w:val="18"/>
          <w:rFonts w:hint="eastAsia" w:ascii="仿宋_GB2312" w:hAnsi="楷体" w:eastAsia="仿宋_GB2312" w:cs="Times New Roman"/>
          <w:b w:val="0"/>
          <w:color w:val="auto"/>
          <w:spacing w:val="-4"/>
          <w:sz w:val="32"/>
          <w:szCs w:val="32"/>
          <w:lang w:val="en-US" w:eastAsia="zh-CN"/>
        </w:rPr>
        <w:t>优秀</w:t>
      </w:r>
      <w:r>
        <w:rPr>
          <w:rStyle w:val="18"/>
          <w:rFonts w:hint="default" w:ascii="仿宋_GB2312" w:hAnsi="楷体" w:eastAsia="仿宋_GB2312" w:cs="Times New Roman"/>
          <w:b w:val="0"/>
          <w:color w:val="auto"/>
          <w:spacing w:val="-4"/>
          <w:sz w:val="32"/>
          <w:szCs w:val="32"/>
          <w:lang w:val="en-US" w:eastAsia="zh-CN"/>
        </w:rPr>
        <w:t>”。</w:t>
      </w:r>
    </w:p>
    <w:p w14:paraId="4B4D434E">
      <w:pPr>
        <w:spacing w:line="540" w:lineRule="exact"/>
        <w:ind w:firstLine="640"/>
        <w:rPr>
          <w:rStyle w:val="18"/>
          <w:rFonts w:ascii="黑体" w:hAnsi="黑体" w:eastAsia="黑体"/>
          <w:color w:val="auto"/>
        </w:rPr>
      </w:pPr>
      <w:r>
        <w:rPr>
          <w:rStyle w:val="18"/>
          <w:rFonts w:hint="eastAsia" w:ascii="黑体" w:hAnsi="黑体" w:eastAsia="黑体"/>
          <w:b w:val="0"/>
          <w:color w:val="auto"/>
          <w:spacing w:val="-4"/>
          <w:sz w:val="32"/>
          <w:szCs w:val="32"/>
        </w:rPr>
        <w:t>四、</w:t>
      </w:r>
      <w:r>
        <w:rPr>
          <w:rStyle w:val="18"/>
          <w:rFonts w:hint="eastAsia"/>
          <w:color w:val="auto"/>
          <w:spacing w:val="-4"/>
          <w:sz w:val="32"/>
          <w:szCs w:val="32"/>
        </w:rPr>
        <w:t>绩效评价指标分析</w:t>
      </w:r>
      <w:r>
        <w:rPr>
          <w:rStyle w:val="18"/>
          <w:rFonts w:hint="eastAsia" w:ascii="黑体" w:hAnsi="黑体" w:eastAsia="黑体"/>
          <w:b w:val="0"/>
          <w:color w:val="auto"/>
          <w:spacing w:val="-4"/>
          <w:sz w:val="32"/>
          <w:szCs w:val="32"/>
        </w:rPr>
        <w:t xml:space="preserve"> </w:t>
      </w:r>
    </w:p>
    <w:p w14:paraId="66D9358A">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（一）项目决策情况。</w:t>
      </w:r>
    </w:p>
    <w:p w14:paraId="4E1543CE">
      <w:pPr>
        <w:spacing w:line="560" w:lineRule="exact"/>
        <w:ind w:firstLine="624" w:firstLineChars="200"/>
        <w:rPr>
          <w:rStyle w:val="18"/>
          <w:rFonts w:hint="default" w:ascii="仿宋_GB2312" w:hAnsi="楷体" w:eastAsia="仿宋_GB2312" w:cs="Times New Roman"/>
          <w:b w:val="0"/>
          <w:color w:val="auto"/>
          <w:spacing w:val="-4"/>
          <w:sz w:val="32"/>
          <w:szCs w:val="32"/>
          <w:lang w:val="en-US" w:eastAsia="zh-CN"/>
        </w:rPr>
      </w:pPr>
      <w:r>
        <w:rPr>
          <w:rStyle w:val="18"/>
          <w:rFonts w:hint="default" w:ascii="仿宋_GB2312" w:hAnsi="楷体" w:eastAsia="仿宋_GB2312" w:cs="Times New Roman"/>
          <w:b w:val="0"/>
          <w:color w:val="auto"/>
          <w:spacing w:val="-4"/>
          <w:sz w:val="32"/>
          <w:szCs w:val="32"/>
          <w:lang w:val="en-US" w:eastAsia="zh-CN"/>
        </w:rPr>
        <w:t>政府采购编制需更加细化，确保每年的设备更新的费用，更应将被市场淘汰的但还未到达报废标准的老旧仪器合理</w:t>
      </w:r>
      <w:r>
        <w:rPr>
          <w:rStyle w:val="18"/>
          <w:rFonts w:hint="eastAsia" w:ascii="仿宋_GB2312" w:hAnsi="楷体" w:eastAsia="仿宋_GB2312" w:cs="Times New Roman"/>
          <w:b w:val="0"/>
          <w:color w:val="auto"/>
          <w:spacing w:val="-4"/>
          <w:sz w:val="32"/>
          <w:szCs w:val="32"/>
          <w:lang w:val="en-US" w:eastAsia="zh-CN"/>
        </w:rPr>
        <w:t>地</w:t>
      </w:r>
      <w:r>
        <w:rPr>
          <w:rStyle w:val="18"/>
          <w:rFonts w:hint="default" w:ascii="仿宋_GB2312" w:hAnsi="楷体" w:eastAsia="仿宋_GB2312" w:cs="Times New Roman"/>
          <w:b w:val="0"/>
          <w:color w:val="auto"/>
          <w:spacing w:val="-4"/>
          <w:sz w:val="32"/>
          <w:szCs w:val="32"/>
          <w:lang w:val="en-US" w:eastAsia="zh-CN"/>
        </w:rPr>
        <w:t>利用起来，比如可以出租给业务量没有那么巨大，对时效要求没有那么严格的单位使用，或者用于教学演示用仪器，不参与大规模繁重的检测任务。</w:t>
      </w:r>
    </w:p>
    <w:p w14:paraId="4FB6456D">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（二）项目过程情况。</w:t>
      </w:r>
    </w:p>
    <w:p w14:paraId="27672323">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全年共完成实事项目4项，切实解决了群众的实际问题。一是前往呼图壁开展实地调研，申报自治区科技厅国际合作重点项目；二是自治区农业农村厅举办2025年农产品质量安全检验检测技术能力提升培训班邀请本单位农产品检测人员积极参与，以保证能力素质的提升，推动全区农产品质量安全检测体系规范化、标准化建设；三是开展“你点我检”活动。</w:t>
      </w:r>
    </w:p>
    <w:p w14:paraId="44D3E08F">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围绕农产品加工，联合企业、科研院所开展科研攻关。依托重点实验室和工程技术研究中心，开展技术研究，应用于我区枸杞、肉苁蓉、恰玛古、驼奶、虹鳟的品质评价、功能成分分离及产品开发。</w:t>
      </w:r>
    </w:p>
    <w:p w14:paraId="01A58390">
      <w:pPr>
        <w:spacing w:line="560" w:lineRule="exact"/>
        <w:ind w:firstLine="624" w:firstLineChars="200"/>
        <w:rPr>
          <w:rStyle w:val="18"/>
          <w:rFonts w:hint="default"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不断加强科技创新平台建设。积极探索检验检测机构在企业产品开发、小试、中试、定型评价等研发阶段的服务模式，投入建立了中试实验室，为衔接实验室与工业化生产，验证工艺可行性、优化参数、评估放大风险，降低企业量产失败成本。</w:t>
      </w:r>
    </w:p>
    <w:p w14:paraId="0F3DBDBF">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开展高水平科研合作。积极开展引智工作。我中心联合承担了农业农村部“2025年新疆生态环境监测项目”，引智初有成效，更高效地发挥援疆团队的技术优势。引入生物信息学、人工智能技术，与我中心特色资源开发结合，提升研究水平，解决技术难题。</w:t>
      </w:r>
    </w:p>
    <w:p w14:paraId="139547A7">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 xml:space="preserve">利用单位的大型仪器设备，开展科技资源共享服务。 </w:t>
      </w:r>
    </w:p>
    <w:p w14:paraId="3B8342DF">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注重人才培养，激发队伍活力。重视人才队伍建设，通过举办业务培训、在职学习提升、职称评审等方式，不断提升干部职工的专业能力和综合素质。成功举办了高层次人才研修班、理化检测前处理技术论坛等活动。</w:t>
      </w:r>
    </w:p>
    <w:p w14:paraId="5B31826F">
      <w:pPr>
        <w:spacing w:line="560" w:lineRule="exact"/>
        <w:ind w:firstLine="624" w:firstLineChars="200"/>
        <w:rPr>
          <w:rStyle w:val="18"/>
          <w:rFonts w:hint="default"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大型仪器协作网工作。</w:t>
      </w:r>
    </w:p>
    <w:p w14:paraId="4BA3196B">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（三）项目产出情况。</w:t>
      </w:r>
    </w:p>
    <w:p w14:paraId="76FAE492">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扎实推进“你点我检”专项行动，足迹遍布塔城市、乌苏市、额敏县、且末县、阿克苏市、阿瓦提县、英吉沙县、泽普县、皮山县等9个县市。走访20多家农产品加工企业，开展调研，了解企业的科研需求。承担完成四次全疆19个县（市）农产品质量安全检验检测工作，10个地县级食品监督抽检任务，线下7个县市抽检任务，共计样品12081批次。培训了各地农产品检测技术人员70多人，扩大了单位的社会影响力。有9人获得自治区科技进步奖二等奖2项；有2人获得自治区科技进步奖三等奖1项。大型仪器协作共用网平台入网单位135家，仪器设备1737台套，仪器总值12.6亿元。较去年新增网员单位4家，平台设备更新49台套。专家库专家161人。开机时数约128万小时，检测样品数约123万个。</w:t>
      </w:r>
    </w:p>
    <w:p w14:paraId="7E485428">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（四）项目效益情况。</w:t>
      </w:r>
    </w:p>
    <w:p w14:paraId="6295B3EC">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default" w:ascii="仿宋_GB2312" w:hAnsi="楷体" w:eastAsia="仿宋_GB2312" w:cs="Times New Roman"/>
          <w:b w:val="0"/>
          <w:color w:val="auto"/>
          <w:spacing w:val="-4"/>
          <w:sz w:val="32"/>
          <w:szCs w:val="32"/>
          <w:lang w:val="en-US" w:eastAsia="zh-CN"/>
        </w:rPr>
        <w:t>单位</w:t>
      </w:r>
      <w:r>
        <w:rPr>
          <w:rStyle w:val="18"/>
          <w:rFonts w:hint="eastAsia" w:ascii="仿宋_GB2312" w:hAnsi="楷体" w:eastAsia="仿宋_GB2312" w:cs="Times New Roman"/>
          <w:b w:val="0"/>
          <w:color w:val="auto"/>
          <w:spacing w:val="-4"/>
          <w:sz w:val="32"/>
          <w:szCs w:val="32"/>
          <w:lang w:val="en-US" w:eastAsia="zh-CN"/>
        </w:rPr>
        <w:t>用于共享服务及</w:t>
      </w:r>
      <w:r>
        <w:rPr>
          <w:rStyle w:val="18"/>
          <w:rFonts w:hint="default" w:ascii="仿宋_GB2312" w:hAnsi="楷体" w:eastAsia="仿宋_GB2312" w:cs="Times New Roman"/>
          <w:b w:val="0"/>
          <w:color w:val="auto"/>
          <w:spacing w:val="-4"/>
          <w:sz w:val="32"/>
          <w:szCs w:val="32"/>
          <w:lang w:val="en-US" w:eastAsia="zh-CN"/>
        </w:rPr>
        <w:t>检测所使用的仪器设备的使用率达到7</w:t>
      </w:r>
      <w:r>
        <w:rPr>
          <w:rStyle w:val="18"/>
          <w:rFonts w:hint="eastAsia" w:ascii="仿宋_GB2312" w:hAnsi="楷体" w:eastAsia="仿宋_GB2312" w:cs="Times New Roman"/>
          <w:b w:val="0"/>
          <w:color w:val="auto"/>
          <w:spacing w:val="-4"/>
          <w:sz w:val="32"/>
          <w:szCs w:val="32"/>
          <w:lang w:val="en-US" w:eastAsia="zh-CN"/>
        </w:rPr>
        <w:t>8</w:t>
      </w:r>
      <w:r>
        <w:rPr>
          <w:rStyle w:val="18"/>
          <w:rFonts w:hint="default" w:ascii="仿宋_GB2312" w:hAnsi="楷体" w:eastAsia="仿宋_GB2312" w:cs="Times New Roman"/>
          <w:b w:val="0"/>
          <w:color w:val="auto"/>
          <w:spacing w:val="-4"/>
          <w:sz w:val="32"/>
          <w:szCs w:val="32"/>
          <w:lang w:val="en-US" w:eastAsia="zh-CN"/>
        </w:rPr>
        <w:t>%，积极调动检测设备，设备在运行良好的情况下，做到不闲置设备。</w:t>
      </w:r>
    </w:p>
    <w:p w14:paraId="3594BAE9">
      <w:pPr>
        <w:spacing w:line="540" w:lineRule="exact"/>
        <w:ind w:firstLine="640"/>
        <w:rPr>
          <w:rStyle w:val="18"/>
          <w:rFonts w:ascii="黑体" w:hAnsi="黑体" w:eastAsia="黑体"/>
          <w:color w:val="auto"/>
          <w:spacing w:val="-4"/>
          <w:sz w:val="32"/>
          <w:szCs w:val="32"/>
        </w:rPr>
      </w:pPr>
      <w:r>
        <w:rPr>
          <w:rStyle w:val="18"/>
          <w:rFonts w:hint="eastAsia" w:ascii="黑体" w:hAnsi="黑体" w:eastAsia="黑体"/>
          <w:b w:val="0"/>
          <w:color w:val="auto"/>
          <w:spacing w:val="-4"/>
          <w:sz w:val="32"/>
          <w:szCs w:val="32"/>
          <w:lang w:eastAsia="zh-CN"/>
        </w:rPr>
        <w:t>五</w:t>
      </w:r>
      <w:r>
        <w:rPr>
          <w:rStyle w:val="18"/>
          <w:rFonts w:hint="eastAsia" w:ascii="黑体" w:hAnsi="黑体" w:eastAsia="黑体"/>
          <w:b w:val="0"/>
          <w:color w:val="auto"/>
          <w:spacing w:val="-4"/>
          <w:sz w:val="32"/>
          <w:szCs w:val="32"/>
        </w:rPr>
        <w:t>、</w:t>
      </w:r>
      <w:r>
        <w:rPr>
          <w:rStyle w:val="18"/>
          <w:rFonts w:ascii="黑体" w:hAnsi="黑体" w:eastAsia="黑体"/>
          <w:b w:val="0"/>
          <w:color w:val="auto"/>
          <w:spacing w:val="-4"/>
          <w:sz w:val="32"/>
          <w:szCs w:val="32"/>
        </w:rPr>
        <w:t>主要经验及做法、存在的问题及原因分析</w:t>
      </w:r>
    </w:p>
    <w:p w14:paraId="299FC91D">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eastAsia" w:ascii="仿宋_GB2312" w:hAnsi="楷体" w:eastAsia="仿宋_GB2312" w:cs="Times New Roman"/>
          <w:b w:val="0"/>
          <w:color w:val="auto"/>
          <w:spacing w:val="-4"/>
          <w:sz w:val="32"/>
          <w:szCs w:val="32"/>
          <w:lang w:val="en-US" w:eastAsia="zh-CN"/>
        </w:rPr>
        <w:t>主要经验及做法、存在的问题及原因分析：收费价格偏低，要达到检测目标则检测项次过高，在指标设置上需相应调整。</w:t>
      </w:r>
    </w:p>
    <w:p w14:paraId="494DE6A4">
      <w:pPr>
        <w:spacing w:line="560" w:lineRule="exact"/>
        <w:ind w:firstLine="624" w:firstLineChars="200"/>
        <w:rPr>
          <w:rStyle w:val="18"/>
          <w:rFonts w:ascii="楷体" w:hAnsi="楷体" w:eastAsia="楷体"/>
          <w:color w:val="auto"/>
          <w:spacing w:val="-4"/>
          <w:sz w:val="32"/>
          <w:szCs w:val="32"/>
        </w:rPr>
      </w:pPr>
      <w:r>
        <w:rPr>
          <w:rStyle w:val="18"/>
          <w:rFonts w:hint="eastAsia" w:ascii="仿宋_GB2312" w:hAnsi="楷体" w:eastAsia="仿宋_GB2312" w:cs="Times New Roman"/>
          <w:b w:val="0"/>
          <w:color w:val="auto"/>
          <w:spacing w:val="-4"/>
          <w:sz w:val="32"/>
          <w:szCs w:val="32"/>
          <w:lang w:val="en-US" w:eastAsia="zh-CN"/>
        </w:rPr>
        <w:t>仪器设备老化导致检测任务完成并不顺利，新的仪器设备会占用大量检测成本，也无法实现，继续用人员成本相抵，最终形成恶性循环。</w:t>
      </w:r>
    </w:p>
    <w:p w14:paraId="6B517FB1">
      <w:pPr>
        <w:ind w:firstLine="624" w:firstLineChars="20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lang w:eastAsia="zh-CN"/>
        </w:rPr>
        <w:t>六</w:t>
      </w:r>
      <w:r>
        <w:rPr>
          <w:rStyle w:val="18"/>
          <w:rFonts w:ascii="黑体" w:hAnsi="黑体" w:eastAsia="黑体"/>
          <w:b w:val="0"/>
          <w:color w:val="auto"/>
          <w:spacing w:val="-4"/>
          <w:sz w:val="32"/>
          <w:szCs w:val="32"/>
        </w:rPr>
        <w:t>、有关建议</w:t>
      </w:r>
    </w:p>
    <w:p w14:paraId="766E6BA2">
      <w:pPr>
        <w:spacing w:line="560" w:lineRule="exact"/>
        <w:ind w:firstLine="624" w:firstLineChars="200"/>
        <w:rPr>
          <w:rStyle w:val="18"/>
          <w:rFonts w:hint="default" w:ascii="仿宋_GB2312" w:hAnsi="楷体" w:eastAsia="仿宋_GB2312" w:cs="Times New Roman"/>
          <w:b w:val="0"/>
          <w:color w:val="auto"/>
          <w:spacing w:val="-4"/>
          <w:sz w:val="32"/>
          <w:szCs w:val="32"/>
          <w:lang w:val="en-US" w:eastAsia="zh-CN"/>
        </w:rPr>
      </w:pPr>
      <w:r>
        <w:rPr>
          <w:rStyle w:val="18"/>
          <w:rFonts w:hint="default" w:ascii="仿宋_GB2312" w:hAnsi="楷体" w:eastAsia="仿宋_GB2312" w:cs="Times New Roman"/>
          <w:b w:val="0"/>
          <w:color w:val="auto"/>
          <w:spacing w:val="-4"/>
          <w:sz w:val="32"/>
          <w:szCs w:val="32"/>
          <w:lang w:val="en-US" w:eastAsia="zh-CN"/>
        </w:rPr>
        <w:t>建议调整检测收入与检测成本的配比，有时在市场的恶性竞争下会出现检测收入只略高于检测收入，甚至无法满足人员经费的情况，有劣币驱逐良币的趋势。</w:t>
      </w:r>
    </w:p>
    <w:p w14:paraId="48D22A59">
      <w:pPr>
        <w:spacing w:line="560" w:lineRule="exact"/>
        <w:ind w:firstLine="624" w:firstLineChars="200"/>
        <w:rPr>
          <w:rStyle w:val="18"/>
          <w:rFonts w:hint="default" w:ascii="仿宋_GB2312" w:hAnsi="楷体" w:eastAsia="仿宋_GB2312" w:cs="Times New Roman"/>
          <w:b w:val="0"/>
          <w:color w:val="auto"/>
          <w:spacing w:val="-4"/>
          <w:sz w:val="32"/>
          <w:szCs w:val="32"/>
          <w:lang w:val="en-US" w:eastAsia="zh-CN"/>
        </w:rPr>
      </w:pPr>
      <w:r>
        <w:rPr>
          <w:rStyle w:val="18"/>
          <w:rFonts w:hint="default" w:ascii="仿宋_GB2312" w:hAnsi="楷体" w:eastAsia="仿宋_GB2312" w:cs="Times New Roman"/>
          <w:b w:val="0"/>
          <w:color w:val="auto"/>
          <w:spacing w:val="-4"/>
          <w:sz w:val="32"/>
          <w:szCs w:val="32"/>
          <w:lang w:val="en-US" w:eastAsia="zh-CN"/>
        </w:rPr>
        <w:t>政府采购编制需更加细化，确保每年的设备更新的费用，更应将被市场淘汰的但还未到达报废标准的老旧仪器合理</w:t>
      </w:r>
      <w:r>
        <w:rPr>
          <w:rStyle w:val="18"/>
          <w:rFonts w:hint="eastAsia" w:ascii="仿宋_GB2312" w:hAnsi="楷体" w:eastAsia="仿宋_GB2312" w:cs="Times New Roman"/>
          <w:b w:val="0"/>
          <w:color w:val="auto"/>
          <w:spacing w:val="-4"/>
          <w:sz w:val="32"/>
          <w:szCs w:val="32"/>
          <w:lang w:val="en-US" w:eastAsia="zh-CN"/>
        </w:rPr>
        <w:t>地</w:t>
      </w:r>
      <w:r>
        <w:rPr>
          <w:rStyle w:val="18"/>
          <w:rFonts w:hint="default" w:ascii="仿宋_GB2312" w:hAnsi="楷体" w:eastAsia="仿宋_GB2312" w:cs="Times New Roman"/>
          <w:b w:val="0"/>
          <w:color w:val="auto"/>
          <w:spacing w:val="-4"/>
          <w:sz w:val="32"/>
          <w:szCs w:val="32"/>
          <w:lang w:val="en-US" w:eastAsia="zh-CN"/>
        </w:rPr>
        <w:t>利用起来，比如可以出租给业务量没有那么巨大，对时效要求没有那么严格的单位使用，或者用于教学演示用仪器，不参与大规模繁重的检测任务。</w:t>
      </w:r>
    </w:p>
    <w:p w14:paraId="45EBC0F9">
      <w:pPr>
        <w:spacing w:line="560" w:lineRule="exact"/>
        <w:ind w:firstLine="624" w:firstLineChars="200"/>
        <w:rPr>
          <w:rStyle w:val="18"/>
          <w:rFonts w:hint="eastAsia" w:ascii="仿宋_GB2312" w:hAnsi="楷体" w:eastAsia="仿宋_GB2312" w:cs="Times New Roman"/>
          <w:b w:val="0"/>
          <w:color w:val="auto"/>
          <w:spacing w:val="-4"/>
          <w:sz w:val="32"/>
          <w:szCs w:val="32"/>
          <w:lang w:val="en-US" w:eastAsia="zh-CN"/>
        </w:rPr>
      </w:pPr>
      <w:r>
        <w:rPr>
          <w:rStyle w:val="18"/>
          <w:rFonts w:hint="default" w:ascii="仿宋_GB2312" w:hAnsi="楷体" w:eastAsia="仿宋_GB2312" w:cs="Times New Roman"/>
          <w:b w:val="0"/>
          <w:color w:val="auto"/>
          <w:spacing w:val="-4"/>
          <w:sz w:val="32"/>
          <w:szCs w:val="32"/>
          <w:lang w:val="en-US" w:eastAsia="zh-CN"/>
        </w:rPr>
        <w:t>在制定绩效目标时，可以调动各个检测科室，根据各科室的检测试剂发生的情况来制定更加适于考核，更能量化的绩效目标，使得绩效目标的设置更能发挥应有的目的。</w:t>
      </w:r>
    </w:p>
    <w:p w14:paraId="57BA7BBA">
      <w:pPr>
        <w:spacing w:line="540" w:lineRule="exact"/>
        <w:ind w:firstLine="567"/>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lang w:eastAsia="zh-CN"/>
        </w:rPr>
        <w:t>七</w:t>
      </w:r>
      <w:r>
        <w:rPr>
          <w:rStyle w:val="18"/>
          <w:rFonts w:hint="eastAsia" w:ascii="黑体" w:hAnsi="黑体" w:eastAsia="黑体"/>
          <w:b w:val="0"/>
          <w:color w:val="auto"/>
          <w:spacing w:val="-4"/>
          <w:sz w:val="32"/>
          <w:szCs w:val="32"/>
        </w:rPr>
        <w:t>、其他需要说明的问题</w:t>
      </w:r>
    </w:p>
    <w:p w14:paraId="7DB77389">
      <w:pPr>
        <w:spacing w:line="560" w:lineRule="exact"/>
        <w:ind w:firstLine="624" w:firstLineChars="200"/>
        <w:rPr>
          <w:rStyle w:val="18"/>
          <w:rFonts w:hint="default" w:ascii="仿宋_GB2312" w:hAnsi="楷体" w:eastAsia="仿宋_GB2312" w:cs="Times New Roman"/>
          <w:b w:val="0"/>
          <w:color w:val="auto"/>
          <w:spacing w:val="-4"/>
          <w:sz w:val="32"/>
          <w:szCs w:val="32"/>
          <w:lang w:val="en-US" w:eastAsia="zh-CN"/>
        </w:rPr>
      </w:pPr>
      <w:r>
        <w:rPr>
          <w:rStyle w:val="18"/>
          <w:rFonts w:hint="default" w:ascii="仿宋_GB2312" w:hAnsi="楷体" w:eastAsia="仿宋_GB2312" w:cs="Times New Roman"/>
          <w:b w:val="0"/>
          <w:color w:val="auto"/>
          <w:spacing w:val="-4"/>
          <w:sz w:val="32"/>
          <w:szCs w:val="32"/>
          <w:lang w:val="en-US" w:eastAsia="zh-CN"/>
        </w:rPr>
        <w:t>没有其他需要说明的问题。</w:t>
      </w:r>
    </w:p>
    <w:p w14:paraId="149B5223">
      <w:pPr>
        <w:spacing w:line="540" w:lineRule="exact"/>
        <w:ind w:firstLine="567"/>
        <w:rPr>
          <w:rStyle w:val="18"/>
          <w:rFonts w:ascii="仿宋" w:hAnsi="仿宋" w:eastAsia="仿宋"/>
          <w:b w:val="0"/>
          <w:color w:val="auto"/>
          <w:spacing w:val="-4"/>
          <w:sz w:val="32"/>
          <w:szCs w:val="32"/>
        </w:rPr>
      </w:pPr>
    </w:p>
    <w:p w14:paraId="3FDC32BD">
      <w:pPr>
        <w:spacing w:line="540" w:lineRule="exact"/>
        <w:ind w:firstLine="567"/>
        <w:rPr>
          <w:rStyle w:val="18"/>
          <w:rFonts w:ascii="仿宋" w:hAnsi="仿宋" w:eastAsia="仿宋"/>
          <w:b w:val="0"/>
          <w:color w:val="auto"/>
          <w:spacing w:val="-4"/>
          <w:sz w:val="32"/>
          <w:szCs w:val="32"/>
        </w:rPr>
      </w:pPr>
    </w:p>
    <w:p w14:paraId="702E4D12">
      <w:pPr>
        <w:spacing w:line="540" w:lineRule="exact"/>
        <w:ind w:firstLine="567"/>
        <w:rPr>
          <w:rStyle w:val="18"/>
          <w:rFonts w:ascii="仿宋" w:hAnsi="仿宋" w:eastAsia="仿宋"/>
          <w:b w:val="0"/>
          <w:color w:val="auto"/>
          <w:spacing w:val="-4"/>
          <w:sz w:val="32"/>
          <w:szCs w:val="32"/>
        </w:rPr>
      </w:pPr>
    </w:p>
    <w:p w14:paraId="0173C83F">
      <w:pPr>
        <w:spacing w:line="540" w:lineRule="exact"/>
        <w:ind w:firstLine="567"/>
        <w:rPr>
          <w:rStyle w:val="18"/>
          <w:rFonts w:ascii="仿宋" w:hAnsi="仿宋" w:eastAsia="仿宋"/>
          <w:b w:val="0"/>
          <w:color w:val="auto"/>
          <w:spacing w:val="-4"/>
          <w:sz w:val="32"/>
          <w:szCs w:val="32"/>
        </w:rPr>
      </w:pPr>
    </w:p>
    <w:p w14:paraId="0480B429">
      <w:pPr>
        <w:spacing w:line="540" w:lineRule="exact"/>
        <w:ind w:firstLine="567"/>
        <w:rPr>
          <w:rStyle w:val="18"/>
          <w:rFonts w:ascii="仿宋" w:hAnsi="仿宋" w:eastAsia="仿宋"/>
          <w:b w:val="0"/>
          <w:color w:val="auto"/>
          <w:spacing w:val="-4"/>
          <w:sz w:val="32"/>
          <w:szCs w:val="32"/>
        </w:rPr>
      </w:pPr>
    </w:p>
    <w:p w14:paraId="486A684E">
      <w:pPr>
        <w:spacing w:line="540" w:lineRule="exact"/>
        <w:ind w:firstLine="567"/>
        <w:rPr>
          <w:rStyle w:val="18"/>
          <w:rFonts w:ascii="仿宋" w:hAnsi="仿宋" w:eastAsia="仿宋"/>
          <w:b w:val="0"/>
          <w:color w:val="auto"/>
          <w:spacing w:val="-4"/>
          <w:sz w:val="32"/>
          <w:szCs w:val="32"/>
        </w:rPr>
      </w:pPr>
    </w:p>
    <w:p w14:paraId="0621FACF">
      <w:pPr>
        <w:spacing w:line="540" w:lineRule="exact"/>
        <w:ind w:firstLine="567"/>
        <w:rPr>
          <w:rStyle w:val="18"/>
          <w:rFonts w:ascii="仿宋" w:hAnsi="仿宋" w:eastAsia="仿宋"/>
          <w:b w:val="0"/>
          <w:color w:val="auto"/>
          <w:spacing w:val="-4"/>
          <w:sz w:val="32"/>
          <w:szCs w:val="32"/>
        </w:rPr>
      </w:pPr>
    </w:p>
    <w:p w14:paraId="33DE04DC">
      <w:pPr>
        <w:spacing w:line="540" w:lineRule="exact"/>
        <w:ind w:firstLine="567"/>
        <w:rPr>
          <w:rStyle w:val="18"/>
          <w:rFonts w:ascii="仿宋" w:hAnsi="仿宋" w:eastAsia="仿宋"/>
          <w:b w:val="0"/>
          <w:color w:val="auto"/>
          <w:spacing w:val="-4"/>
          <w:sz w:val="32"/>
          <w:szCs w:val="32"/>
        </w:rPr>
      </w:pPr>
    </w:p>
    <w:p w14:paraId="598CC372">
      <w:pPr>
        <w:spacing w:line="540" w:lineRule="exact"/>
        <w:ind w:firstLine="567"/>
        <w:rPr>
          <w:rStyle w:val="18"/>
          <w:rFonts w:ascii="仿宋" w:hAnsi="仿宋" w:eastAsia="仿宋"/>
          <w:b w:val="0"/>
          <w:color w:val="auto"/>
          <w:spacing w:val="-4"/>
          <w:sz w:val="32"/>
          <w:szCs w:val="32"/>
        </w:rPr>
      </w:pPr>
    </w:p>
    <w:p w14:paraId="470E61DE">
      <w:pPr>
        <w:spacing w:line="540" w:lineRule="exact"/>
        <w:ind w:firstLine="567"/>
        <w:rPr>
          <w:rStyle w:val="18"/>
          <w:rFonts w:ascii="仿宋" w:hAnsi="仿宋" w:eastAsia="仿宋"/>
          <w:b w:val="0"/>
          <w:color w:val="auto"/>
          <w:spacing w:val="-4"/>
          <w:sz w:val="32"/>
          <w:szCs w:val="32"/>
        </w:rPr>
      </w:pPr>
    </w:p>
    <w:p w14:paraId="6C60A531">
      <w:pPr>
        <w:spacing w:line="540" w:lineRule="exact"/>
        <w:ind w:firstLine="567"/>
        <w:rPr>
          <w:rStyle w:val="18"/>
          <w:rFonts w:ascii="仿宋" w:hAnsi="仿宋" w:eastAsia="仿宋"/>
          <w:b w:val="0"/>
          <w:color w:val="auto"/>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38669ACE">
        <w:pPr>
          <w:pStyle w:val="12"/>
          <w:jc w:val="center"/>
        </w:pPr>
        <w:r>
          <w:fldChar w:fldCharType="begin"/>
        </w:r>
        <w:r>
          <w:instrText xml:space="preserve">PAGE   \* MERGEFORMAT</w:instrText>
        </w:r>
        <w:r>
          <w:fldChar w:fldCharType="separate"/>
        </w:r>
        <w:r>
          <w:rPr>
            <w:lang w:val="zh-CN"/>
          </w:rPr>
          <w:t>1</w:t>
        </w:r>
        <w:r>
          <w:fldChar w:fldCharType="end"/>
        </w:r>
      </w:p>
    </w:sdtContent>
  </w:sdt>
  <w:p w14:paraId="745DF5F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B2BB38"/>
    <w:multiLevelType w:val="singleLevel"/>
    <w:tmpl w:val="1DB2BB3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0D06D9"/>
    <w:rsid w:val="0CB44F22"/>
    <w:rsid w:val="1D897516"/>
    <w:rsid w:val="23977C4F"/>
    <w:rsid w:val="2BCB7085"/>
    <w:rsid w:val="4C3D1751"/>
    <w:rsid w:val="4D2606A1"/>
    <w:rsid w:val="5FE04742"/>
    <w:rsid w:val="6C9807FD"/>
    <w:rsid w:val="7791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2811</Words>
  <Characters>2899</Characters>
  <Lines>5</Lines>
  <Paragraphs>1</Paragraphs>
  <TotalTime>29</TotalTime>
  <ScaleCrop>false</ScaleCrop>
  <LinksUpToDate>false</LinksUpToDate>
  <CharactersWithSpaces>2912</CharactersWithSpaces>
  <Application>WPS Office_12.1.0.26885_F1E327BC-269C-435d-A152-05C5408002CA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2026-09-02T08:00:37Z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2052-12.1.0.26885</vt:lpwstr>
  </property>
  <property fmtid="{D5CDD505-2E9C-101B-9397-08002B2CF9AE}" pid="3" name="ICV">
    <vt:lpwstr>160D1BA1944349B08C48068401F6E698</vt:lpwstr>
  </property>
  <property fmtid="{D5CDD505-2E9C-101B-9397-08002B2CF9AE}" pid="4" name="KSOTemplateDocerSaveRecord">
    <vt:lpwstr>eyJoZGlkIjoiYjllZTFkNzZjMTJjZjZkZjhmYWQyZGNlNGE1MTg2N2QiLCJ1c2VySWQiOiIyNTk4NTcxMjUifQ==</vt:lpwstr>
  </property>
</Properties>
</file>