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DF6F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4C21A40">
      <w:pPr>
        <w:spacing w:line="540" w:lineRule="exact"/>
        <w:jc w:val="center"/>
        <w:rPr>
          <w:rFonts w:ascii="华文中宋" w:hAnsi="华文中宋" w:eastAsia="华文中宋" w:cs="宋体"/>
          <w:b/>
          <w:kern w:val="0"/>
          <w:sz w:val="52"/>
          <w:szCs w:val="52"/>
        </w:rPr>
      </w:pPr>
    </w:p>
    <w:p w14:paraId="2CB32561">
      <w:pPr>
        <w:spacing w:line="540" w:lineRule="exact"/>
        <w:jc w:val="center"/>
        <w:rPr>
          <w:rFonts w:ascii="华文中宋" w:hAnsi="华文中宋" w:eastAsia="华文中宋" w:cs="宋体"/>
          <w:b/>
          <w:kern w:val="0"/>
          <w:sz w:val="52"/>
          <w:szCs w:val="52"/>
        </w:rPr>
      </w:pPr>
    </w:p>
    <w:p w14:paraId="4847C7E6">
      <w:pPr>
        <w:spacing w:line="540" w:lineRule="exact"/>
        <w:jc w:val="center"/>
        <w:rPr>
          <w:rFonts w:ascii="华文中宋" w:hAnsi="华文中宋" w:eastAsia="华文中宋" w:cs="宋体"/>
          <w:b/>
          <w:kern w:val="0"/>
          <w:sz w:val="52"/>
          <w:szCs w:val="52"/>
        </w:rPr>
      </w:pPr>
    </w:p>
    <w:p w14:paraId="6FFBDA23">
      <w:pPr>
        <w:spacing w:line="540" w:lineRule="exact"/>
        <w:jc w:val="center"/>
        <w:rPr>
          <w:rFonts w:ascii="华文中宋" w:hAnsi="华文中宋" w:eastAsia="华文中宋" w:cs="宋体"/>
          <w:b/>
          <w:kern w:val="0"/>
          <w:sz w:val="52"/>
          <w:szCs w:val="52"/>
        </w:rPr>
      </w:pPr>
    </w:p>
    <w:p w14:paraId="4F1BB9AC">
      <w:pPr>
        <w:spacing w:line="540" w:lineRule="exact"/>
        <w:jc w:val="center"/>
        <w:rPr>
          <w:rFonts w:ascii="华文中宋" w:hAnsi="华文中宋" w:eastAsia="华文中宋" w:cs="宋体"/>
          <w:b/>
          <w:kern w:val="0"/>
          <w:sz w:val="52"/>
          <w:szCs w:val="52"/>
        </w:rPr>
      </w:pPr>
    </w:p>
    <w:p w14:paraId="163C3E8D">
      <w:pPr>
        <w:spacing w:line="540" w:lineRule="exact"/>
        <w:jc w:val="center"/>
        <w:rPr>
          <w:rFonts w:ascii="华文中宋" w:hAnsi="华文中宋" w:eastAsia="华文中宋" w:cs="宋体"/>
          <w:b/>
          <w:kern w:val="0"/>
          <w:sz w:val="52"/>
          <w:szCs w:val="52"/>
        </w:rPr>
      </w:pPr>
    </w:p>
    <w:p w14:paraId="53F651D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064479C5">
      <w:pPr>
        <w:spacing w:line="540" w:lineRule="exact"/>
        <w:jc w:val="center"/>
        <w:rPr>
          <w:rFonts w:ascii="华文中宋" w:hAnsi="华文中宋" w:eastAsia="华文中宋" w:cs="宋体"/>
          <w:b/>
          <w:kern w:val="0"/>
          <w:sz w:val="52"/>
          <w:szCs w:val="52"/>
        </w:rPr>
      </w:pPr>
    </w:p>
    <w:p w14:paraId="6AF882D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04F8F8E2">
      <w:pPr>
        <w:spacing w:line="540" w:lineRule="exact"/>
        <w:jc w:val="center"/>
        <w:rPr>
          <w:rFonts w:hAnsi="宋体" w:eastAsia="仿宋_GB2312" w:cs="宋体"/>
          <w:kern w:val="0"/>
          <w:sz w:val="30"/>
          <w:szCs w:val="30"/>
        </w:rPr>
      </w:pPr>
    </w:p>
    <w:p w14:paraId="60917212">
      <w:pPr>
        <w:spacing w:line="540" w:lineRule="exact"/>
        <w:jc w:val="center"/>
        <w:rPr>
          <w:rFonts w:hAnsi="宋体" w:eastAsia="仿宋_GB2312" w:cs="宋体"/>
          <w:kern w:val="0"/>
          <w:sz w:val="30"/>
          <w:szCs w:val="30"/>
        </w:rPr>
      </w:pPr>
    </w:p>
    <w:p w14:paraId="59019813">
      <w:pPr>
        <w:spacing w:line="540" w:lineRule="exact"/>
        <w:jc w:val="center"/>
        <w:rPr>
          <w:rFonts w:hAnsi="宋体" w:eastAsia="仿宋_GB2312" w:cs="宋体"/>
          <w:kern w:val="0"/>
          <w:sz w:val="30"/>
          <w:szCs w:val="30"/>
        </w:rPr>
      </w:pPr>
    </w:p>
    <w:p w14:paraId="18E16EBB">
      <w:pPr>
        <w:spacing w:line="540" w:lineRule="exact"/>
        <w:rPr>
          <w:rFonts w:hAnsi="宋体" w:eastAsia="仿宋_GB2312" w:cs="宋体"/>
          <w:kern w:val="0"/>
          <w:sz w:val="30"/>
          <w:szCs w:val="30"/>
        </w:rPr>
      </w:pPr>
    </w:p>
    <w:p w14:paraId="459A94C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F1673C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2025年自治区重点研发任务专项</w:t>
      </w:r>
    </w:p>
    <w:p w14:paraId="49640A7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新疆维吾尔自治区科学技术厅资源配置与管理处</w:t>
      </w:r>
    </w:p>
    <w:p w14:paraId="2E27986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新疆维吾尔自治区科学技术厅资源配置与管理处</w:t>
      </w:r>
    </w:p>
    <w:p w14:paraId="3897D30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张海涛</w:t>
      </w:r>
    </w:p>
    <w:p w14:paraId="727CA41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2026年03月19日</w:t>
      </w:r>
    </w:p>
    <w:p w14:paraId="2E4A3333">
      <w:pPr>
        <w:spacing w:line="700" w:lineRule="exact"/>
        <w:ind w:firstLine="708" w:firstLineChars="236"/>
        <w:jc w:val="left"/>
        <w:rPr>
          <w:rFonts w:hAnsi="宋体" w:eastAsia="仿宋_GB2312" w:cs="宋体"/>
          <w:kern w:val="0"/>
          <w:sz w:val="30"/>
          <w:szCs w:val="30"/>
        </w:rPr>
      </w:pPr>
    </w:p>
    <w:p w14:paraId="7A07C1CE">
      <w:pPr>
        <w:spacing w:line="540" w:lineRule="exact"/>
        <w:rPr>
          <w:rStyle w:val="18"/>
          <w:rFonts w:ascii="黑体" w:hAnsi="黑体" w:eastAsia="黑体"/>
          <w:b w:val="0"/>
          <w:spacing w:val="-4"/>
          <w:sz w:val="32"/>
          <w:szCs w:val="32"/>
        </w:rPr>
      </w:pPr>
    </w:p>
    <w:p w14:paraId="0578478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CD14E6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4768A48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贯彻《国务院关于改进加强中央财政科研项目和资金管理的若干意见》（国发〔2014〕11号）文件精神，自治区先后出台《关于改进加强自治区财政科技项目和资金管理的意见》（新财教〔2016〕14号）、《自治区重点研发任务专项实施细则（暂行）》（新科计字〔2016〕113号）等相关文件，设立自治区重点研发任务专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重点研发任务紧扣自治区重大战略部署，在落实自治区科技发展目标、主要任务、重点领域及优先主题的基础上系统研发布局、推进协同创新，聚焦国民经济和社会发展各主要领域关键核心科技问题，围绕高新技术领域、社会基础研究类领域和农业领域可持续发展与重大民生需求等重大社会公益性研究，以及事关产业核心竞争力、整体自主创新能力的重大科学问题、重大共性关键技术和产品，重点支持技术与资源综合集成，推动关键核心技术和 “卡脖子” 技术突破，促进创新链与产业链深度融合。通过实施一批引领性、标志性项目，不断提升产业核心竞争力与自主创新能力，形成支撑自治区经济增长和转型升级的产业、产品与服务，同时培养凝聚一批扎根新疆的高水平创新创业人才，培育一批具有核心竞争力的创新型企业，打造一批创新创业平台基地，为经济社会发展主要领域提供持续性支撑与引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重点研发任务专项涉及高新技术领域、社会基础研究类领域和农业领域，重点支持通过技术和资源综合集成，推动关键核心技术、“卡脖子”技术突破，促进创新链与产业链深度融合的引领性、标志性项目以及围绕科技创新和科技体制改革重大问题开展战略研究和智库建设。支持关键核心技术攻关项目，培养专业技术人员，带动社会投入与财政资金投入，促进R＆D经费投入，切实发挥好政府资金的撬动作用，引导社会资本共同参与。通过顶层设计，聚焦自治区重大战略任务，从基础研究、重大共性关键技术到应用示范的纵向研发链，以及横向协作的产业价值链进行全链条一体化设计。瞄准我区经济社会发展的重大需求，解决制约我区产业发展的重大问题，形成的产业、产品、服务为我区经济增长和转型升级提供有力支撑。截至2025年12月31日，该项目实际投入科技计划项目资金31317.4万元，共支持了175个重点研发任务专项项目扎实开展后续攻关工作，着力确保了项目实施取得预期目标，解决了产业链中的重点创新问题，加快了重点研发科技创新成果的示范推广应用，有效促进了产业链创新链深度融合，培养、引进了高层次人才302人，建立了行业技术规范、标准以及申请国家专利、著作权等460个，有效带动了区域内新增就业533人，不断强化了科技计划项目资金监管，提高了资金使用效益，使受扶持单位及相关科研人员满意度均达到了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该项目年初预算数31317.40万元，全年预算数31317.40万元，资金来源为财政拨款，截至2025年12月31日项目资金已下拨31317.40万元，下拨完成率100%。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2025年12月31日，该项目全年执行数31317.40万元，预算执行率为100%，主要用于：支持自治区重点研发专项项目支出，开展高新技术领域、社会基础研究类领域和农业领域产业关键核心技术攻关，开展基础研究与应用基础研究，并将研究成果应用于产业示范。</w:t>
      </w:r>
    </w:p>
    <w:p w14:paraId="7EB7B3C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65F8080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投入科技计划项目资金31317.4万元，持续支持175个重点研发任务专项项目扎实开展后续攻关工作，着力确保项目实施取得预期目标，解决产业链中重大创新问题，加快重大科技创新成果的示范推广应用，促进产业链创新链深度融合，培养、引进高层次人才298人，建立行业技术规范、标准以及申请国家专利、著作权等460个，带动区域内新增就业530人，不断强化科技计划项目资金监管，提高资金使用效益，使受扶持单位的满意度达到90%，相关科研人员满意度达到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阶段性目标围绕项目总体目标，按项目实施周期合理拆解，前期聚焦项目筹备与基础保障工作，完成方案细化、资源配置、前期调研等核心任务，确保项目具备实施条件；中期集中推进核心业务开展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423CC34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50BE0CF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2DD464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通过对项目预算执行情况及各项绩效目标达成程度的系统性分析，全面、客观地评估项目在预定周期内的实施效果，包括社会效益指标，为项目后续的改进与优化提供科学依据。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辅助其在项目审批、预算安排、政策调整等关键决策环节作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2025年自治区重点研发任务专项及其预算执行情况。该项目由自治区科学技术厅负责实施，旨在充分发挥科技创新对高质量发展的支撑引领作用。项目预算涵盖从2025年1月至2025年12月的全部资金投入与支出，涉及资金总额为31317.40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资金管理：深入分析项目资金的分配、使用和监管情况，确保资金使用的合规性、高效性和透明度。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（4）社会影响：考察项目对社会方面的综合影响。</w:t>
      </w:r>
    </w:p>
    <w:p w14:paraId="0741AA3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7E440A5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绩效评价标准通常包括计划标准、行业标准、历史标准等，用于对绩效指标完成情况进行比较、分析、评价。具体绩效评价标准解释如下：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07A284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0A60E0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初，成立了专门的评价工作小组，小组成员由财务专家、项目管理专业人员及相关领域技术成员组成，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A0FE7A8">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54F8FED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带动了相关产业发展和区域内新增就业，解决了产业链中的重点创新问题，加快了重点研发科技创新成果的示范推广应用，有效促进了产业链创新链深度融合，受扶持单位及相关科研人员满意度较高，整体实现了项目预期的实施价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100%。项目过程类指标权重为20分，得分为20分，得分率为100%。项目产出类指标权重为40分，得分为40分，得分率为100%。项目效益类指标权重为20分，得分为20分，得分率为100%。具体打分情况详见下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表1综合评分表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权重分</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 xml:space="preserve"> </w:t>
      </w:r>
    </w:p>
    <w:p w14:paraId="19BCA7E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5EC486F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32E571D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重大科技专项立项按照《自治区重点研发任务专项实施细则（暂行）》（新科计字〔2016〕113号），文件要求“重点研发任务专项是聚焦自治区重大战略任务，遵循研发和创新活动的规律和特点，加强顶层设计，从基础研究、重大共性关键技术到应用示范的纵向研发链，以及横向协作的产业价值链进行全链条一体化设计的专项”，项目立项符合国家相关法律法规、国民经济发展规划及发展政策。根据《自治区重点研发任务专项实施细则（暂行）》（新科计字〔2016〕113号），重点研发任务专项项目应“事关国计民生，需要长期演进的重大社会公益性研究，以及事关产业核心竞争力、整体自主创新能力和我区的战略性、基础性、前瞻性重大科学问题、重大共性关键技术和产品。瞄准我区经济社会发展的重大需求，解决制约我区产业发展的重大问题，形成的产业、产品、服务为我区经济增长和转型升级提供有力支撑。培养和凝聚一批能够扎根新疆的高水平创新、创业、创优人才，形成一批具有竞争力的创新型企业，建成一批创新创业平台基地”，项目符合自治区行业发展规划和政策要求。根据《预算法》，项目属于公共财政支持范围，符合《国务院关于推进中央与地方财政事权和支出责任划分改革的指导意见》（国发〔2016〕49号）中关于“地方的财政事权由地方承担支出责任”的中央、地方事权支出责任划分原则。项目按照自治区科技和经济社会的发展目标筛选，与自治区科技厅贯彻执行党中央、国务院和自治区党委、政府关于落实创新驱动发展战略方针、政策职责范围相符，围绕本年度工作重点和工作计划制定经费预算，属于部门履职所需；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重点研发任务项目均已按照《自治区重点研发任务专项实施细则（暂行）》（新科计字〔2016〕113号），相关规定程序申请设立，项目申请、设立过程符合相关要求，严格按照审批流程准备符合要求的文件、材料；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围绕项目总体目标“投入科技计划项目资金31317.4万元，持续支持175个重点研发任务专项项目扎实开展后续攻关工作，着力确保项目实施取得预期目标，解决产业链中重大创新问题，加快重大科技创新成果的示范推广应用，促进产业链创新链深度融合，培养、引进高层次人才298人，建立行业技术规范、标准以及申请国家专利、著作权等460个，带动区域内新增就业530人，不断强化科技计划项目资金监管，提高资金使用效益，使受扶持单位的满意度达到90%，相关科研人员满意度达到90%。”设定绩效目标，具体明确了“年度完成175个重点研发任务专项支持任务、达成促进产业链创新链深度融合效果”的核心内容。目标设定依据充分，匹配了部门年度工作重点，未超出项目实施的技术、资源、时间约束。绩效目标与项目实际工作内容高度相关，且预算资金与目标投资额精准匹配。完全符合评分标准中“目标有依据、与实际相关、效益符合正常业绩水平、与预算匹配”的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将总体绩效目标细化分解为具体指标，如数量指标“支持科技计划项目数量&gt;=175个”“培养、引进高层次人才≥298人”、效益指标“带动区域内新增就业人数≥530人”等可量化、可衡量的三级指标，每个指标均明确了具体指标值，且指标值与项目目标任务数一一对应，如“持续支持175个重大科技专项项目扎实开展后续攻关工作”对应数量指标“支持科技计划项目数量&gt;=175个”。指标设定清晰无歧义，既涵盖了产出指标，也覆盖了效益指标，满足评分标准中“指标细化分解、可衡量、与任务数对应”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自治区财政科研项目资金管理办法》文件要求“预算编制按照项目实施的合理需要，坚持目标相关性、政策相符性和资金合理性的原则”，自治区科技厅相关处室组织专家对各项目预算编制情况进行评审。本项目预算编制以“精准测算、按需配置”为原则，结合项目实施方案及具体任务清单开展，参考既往同类项目支出水平及当前物价水平，测算支出31317.40万元。预算编制过程经过业务科室、财务部门双重审核，无漏项、超项情况，预算内容与项目“持续支持重点研发任务专项项目扎实开展后续攻关工作的核心任务”“支持科技计划项目的产出目标”完全匹配，资金额度与各阶段工作任务量精准适配，符合评分标准中“经过科学论证、内容与项目匹配、额度依据充分、与工作任务匹配”的全部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重点研发任务专项按照《自治区财政科研项目资金管理办法》中“合理确定资金拨付计划。自治区科技厅要根据不同类型项目特点、研究进度、资金需求等，合理制定财政科研项目资金拨付计划。首笔财政科研项目资金拨付比例要充分尊重项目负责人意见，切实保障科研活动需要”的规定。根据各课题立项评审结果、财务专家建议，结合自治区重点研发任务专项年度资金总额，确定了项目数量、预算资金分配额度、本年拨付金额等，并和财政厅科教文处共同签发了《关于下达2025年自治区科技计划项目经费安排的通知》。项目的资金分配遵循了公平、公正、透明的原则，确保了项目资源的合理配置与高效利用。在资金分配过程中，充分考虑了项目的实际需求与目标，对不同阶段、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故得满分。</w:t>
      </w:r>
    </w:p>
    <w:p w14:paraId="50E215F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566B0F3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根据财政相关资金文件，本项目总投资31317.40万元，已分配至各个重点研发任务专项，实际拨付到位资金31317.40万元，资金到位率100%，该指标满分为4分，根据评分标准得4分。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本项目全年预算31317.40万元，全年实际支出31317.40万元，预算执行率为100%，该指标满分为4分，根据评分标准得4分。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使用严格遵守《预算法》《新疆维吾尔自治区财政科研项目资金管理办法》《自治区重点研发任务专项实施细则（暂行）》（新科计字〔2016〕113号）和《行政单位财务规则》等法律法规及财务制度，全程规范可控：①资金拨付均履行“申请-审核-审批”流程，附完整的合同、发票、验收单等佐证资料，不存在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过程中严格遵守《自治区重点研发任务专项实施细则（暂行）》（新科计字〔2016〕113号）和《新疆维吾尔自治区财政科研项目资金管理办法》等专项制度，制度体系覆盖项目策划、实施、监控、收尾全流程。业务管理制度明确了各部门职责分工。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全过程严格执行各项管理制度，执行效果显著：①严格遵守法律法规及管理规定；②项目合同书、阶段成果技术鉴定、财务凭证等资料齐全，均按要求及时归档；③人员、场地、设备等实施条件全部落实到位，满足项目实施需求。制度执行无偏差，有效保障了项目按计划推进，符合评分标准中“遵守相关规定、调整手续完备、资料齐全归档、实施条件落实”的要求，故得满分。</w:t>
      </w:r>
    </w:p>
    <w:p w14:paraId="4D22F3E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2782E81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项目产出类指标包括产出数量方面的内容，由1个三级指标构成，权重分为40分，实际得分40分，得分率为100%。具体产出指标完成情况如下：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数量指标1：支持科技计划项目数量（个），指标值：&gt;=175个，实际完成值：175个，指标完成率100%。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数量指标2：培养、引进高层次人才（人），指标值：&gt;=298人，实际完成值：302人，指标完成率101.34%。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数量指标3：培训和指导基层技术人员（人），指标值：&gt;=630人，实际完成值：654人，指标完成率103.81%。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数量指标4：建立行业技术规范、标准（国际、国家、行业、地方、企业等标准）、申请国家专利/著作权数量（个），指标值：&gt;=460个，实际完成值：460个，指标完成率100%。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该指标满分为40分，根据评分标准得40分。</w:t>
      </w:r>
    </w:p>
    <w:p w14:paraId="3515FD3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5382D27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社会效益指标：带动区域内新增就业人数（人），指标值：&gt;=530人，实际完成值：533人，指标完成率100%。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p>
    <w:p w14:paraId="6F85E66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满意度指标1：受扶持单位的满意度，指标值：&gt;=90%，实际完成值：90%，指标完成率100%。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满意度指标2：受扶持单位科研人员的满意度，指标值：&gt;=90%，实际完成值：90%，指标完成率100%。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五、预算执行进度与绩效指标偏差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重点研发任务专项项目年初预算31317.40万元，全年预算31317.40万元，实际支出31317.40万元，预算执行率为100%，项目绩效指标总体完成率为100.74%，总体偏差率为0.74%，偏差原因：偏差5%以内视为基本无偏差。</w:t>
      </w:r>
    </w:p>
    <w:p w14:paraId="1B456D16">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59F83730">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明确目标定位。2025年重点研发任务专项项目围绕自治区经济社会发展目标，突出重点筛选出的重大战略产品、关键共性技术或重大科技工程，旨在通过资源集成和核心技术突破，努力实现以科技发展的局部跃升带动生产力的跨越发展。同时突出重点项目技术攻关和成果转化，注重经济和社会效益，加强市场预期评估和目标可行性评价，降低专项资金使用风险。广泛深入调研，明确资金使用方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强化项目管理。一是认真筛选项目，把真实可靠、项目单位创新能力较强、有平台支撑的项目优先纳入支持范围。二是加强项目过程管理，实行定期调研和不定期走访相结合、书面自评和现场考察相结合的方式，确保项目和资金安全。三是突出产业发展重点，科学谋划并组织实施项目，使科技项目真正服务区域主导产业发展，促进创新型产业集群形成，全面提升产业整体创新能力。四是坚持精准培育，对具有较强成长性、竞争力和转化效益的好项目、大项目，在资源上给予重点倾斜，助其迅速突破、转化落地，使之尽快发展成为高质量发展的助推器。五是项目绩效管理，严格按照财政厅相关工作要求，切实做到绩效目标管理、绩效运行监控、绩效支出自评价等全链条绩效闭环管理。对于履约不力、进度滞后的项目及时提醒督促、推动整改，确保项目按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企业创新主体地位。支持引导企业进一步加强与科研院所、高校深度合作，承担科研任务，加大研发投入，促使企业自觉履行高水平科技自立自强使命担当，有效激发企业的创新活力，促进企业与高校、科研院所协同创新，加快科技成果转化，支撑高水平科技自立自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设置不够细化。项目前期工作不全面，没有深入细致科学规划地做好各项前期工作，项目实施前期已根据项目建设内容设置绩效目标，但项目绩效指标设置过于笼统，不够细化，在实际实施绩效监控和绩效评价时较为困难。</w:t>
      </w:r>
    </w:p>
    <w:p w14:paraId="7C601496">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2DA44720">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开展项目绩效管理和财务管理专题培训。邀请财政厅相关业务处室，就绩效管理的相关政策和制度开展有针对性的培训，将绩效管理和财务管理有机结合落实到位，强化项目单位责任，以提高专项资金使用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2.加强对项目绩效目标设定的业务指导。建议财政厅相关业务处室加强对科研项目绩效工作的业务指导，指导科技厅建立和完善符合科研活动规律的科研项目绩效评价办法和指标体系。</w:t>
      </w:r>
    </w:p>
    <w:p w14:paraId="5069B01A">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359E715B">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本次预算绩效评价所采集的数据受采集时间、数据来源等诸多因素的影响，可能会出现一定的偏差，进而对评价结果产生影响。</w:t>
      </w:r>
    </w:p>
    <w:p w14:paraId="0D6B0591">
      <w:pPr>
        <w:spacing w:line="540" w:lineRule="exact"/>
        <w:ind w:firstLine="567"/>
        <w:rPr>
          <w:rStyle w:val="18"/>
          <w:rFonts w:ascii="仿宋" w:hAnsi="仿宋" w:eastAsia="仿宋"/>
          <w:b w:val="0"/>
          <w:spacing w:val="-4"/>
          <w:sz w:val="32"/>
          <w:szCs w:val="32"/>
        </w:rPr>
      </w:pPr>
    </w:p>
    <w:p w14:paraId="41D6A86B">
      <w:pPr>
        <w:spacing w:line="540" w:lineRule="exact"/>
        <w:ind w:firstLine="567"/>
        <w:rPr>
          <w:rStyle w:val="18"/>
          <w:rFonts w:ascii="仿宋" w:hAnsi="仿宋" w:eastAsia="仿宋"/>
          <w:b w:val="0"/>
          <w:spacing w:val="-4"/>
          <w:sz w:val="32"/>
          <w:szCs w:val="32"/>
        </w:rPr>
      </w:pPr>
    </w:p>
    <w:p w14:paraId="6909687B">
      <w:pPr>
        <w:spacing w:line="540" w:lineRule="exact"/>
        <w:ind w:firstLine="567"/>
        <w:rPr>
          <w:rStyle w:val="18"/>
          <w:rFonts w:ascii="仿宋" w:hAnsi="仿宋" w:eastAsia="仿宋"/>
          <w:b w:val="0"/>
          <w:spacing w:val="-4"/>
          <w:sz w:val="32"/>
          <w:szCs w:val="32"/>
        </w:rPr>
      </w:pPr>
    </w:p>
    <w:p w14:paraId="6D17CADF">
      <w:pPr>
        <w:spacing w:line="540" w:lineRule="exact"/>
        <w:ind w:firstLine="567"/>
        <w:rPr>
          <w:rStyle w:val="18"/>
          <w:rFonts w:ascii="仿宋" w:hAnsi="仿宋" w:eastAsia="仿宋"/>
          <w:b w:val="0"/>
          <w:spacing w:val="-4"/>
          <w:sz w:val="32"/>
          <w:szCs w:val="32"/>
        </w:rPr>
      </w:pPr>
    </w:p>
    <w:p w14:paraId="57581E3E">
      <w:pPr>
        <w:spacing w:line="540" w:lineRule="exact"/>
        <w:ind w:firstLine="567"/>
        <w:rPr>
          <w:rStyle w:val="18"/>
          <w:rFonts w:ascii="仿宋" w:hAnsi="仿宋" w:eastAsia="仿宋"/>
          <w:b w:val="0"/>
          <w:spacing w:val="-4"/>
          <w:sz w:val="32"/>
          <w:szCs w:val="32"/>
        </w:rPr>
      </w:pPr>
    </w:p>
    <w:p w14:paraId="6C81554A">
      <w:pPr>
        <w:spacing w:line="540" w:lineRule="exact"/>
        <w:ind w:firstLine="567"/>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18850A0">
        <w:pPr>
          <w:pStyle w:val="12"/>
          <w:jc w:val="center"/>
        </w:pPr>
        <w:r>
          <w:fldChar w:fldCharType="begin"/>
        </w:r>
        <w:r>
          <w:instrText xml:space="preserve">PAGE   \* MERGEFORMAT</w:instrText>
        </w:r>
        <w:r>
          <w:fldChar w:fldCharType="separate"/>
        </w:r>
        <w:r>
          <w:rPr>
            <w:lang w:val="zh-CN"/>
          </w:rPr>
          <w:t>1</w:t>
        </w:r>
        <w:r>
          <w:fldChar w:fldCharType="end"/>
        </w:r>
      </w:p>
    </w:sdtContent>
  </w:sdt>
  <w:p w14:paraId="0A3A7995">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5AC35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9274</Words>
  <Characters>9605</Characters>
  <Lines>5</Lines>
  <Paragraphs>1</Paragraphs>
  <TotalTime>0</TotalTime>
  <ScaleCrop>false</ScaleCrop>
  <LinksUpToDate>false</LinksUpToDate>
  <CharactersWithSpaces>9655</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2026-09-02T06:53:03Z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ICV">
    <vt:lpwstr>160D1BA1944349B08C48068401F6E698</vt:lpwstr>
  </property>
  <property fmtid="{D5CDD505-2E9C-101B-9397-08002B2CF9AE}" pid="4" name="KSOTemplateDocerSaveRecord">
    <vt:lpwstr>eyJoZGlkIjoiYjllZTFkNzZjMTJjZjZkZjhmYWQyZGNlNGE1MTg2N2QiLCJ1c2VySWQiOiIyNTk4NTcxMjUifQ==</vt:lpwstr>
  </property>
</Properties>
</file>