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DD14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A4310C3">
      <w:pPr>
        <w:spacing w:line="540" w:lineRule="exact"/>
        <w:jc w:val="center"/>
        <w:rPr>
          <w:rFonts w:ascii="华文中宋" w:hAnsi="华文中宋" w:eastAsia="华文中宋" w:cs="宋体"/>
          <w:b/>
          <w:kern w:val="0"/>
          <w:sz w:val="52"/>
          <w:szCs w:val="52"/>
        </w:rPr>
      </w:pPr>
    </w:p>
    <w:p w14:paraId="6A37C05F">
      <w:pPr>
        <w:spacing w:line="540" w:lineRule="exact"/>
        <w:jc w:val="center"/>
        <w:rPr>
          <w:rFonts w:ascii="华文中宋" w:hAnsi="华文中宋" w:eastAsia="华文中宋" w:cs="宋体"/>
          <w:b/>
          <w:kern w:val="0"/>
          <w:sz w:val="52"/>
          <w:szCs w:val="52"/>
        </w:rPr>
      </w:pPr>
    </w:p>
    <w:p w14:paraId="58020AB0">
      <w:pPr>
        <w:spacing w:line="540" w:lineRule="exact"/>
        <w:jc w:val="center"/>
        <w:rPr>
          <w:rFonts w:ascii="华文中宋" w:hAnsi="华文中宋" w:eastAsia="华文中宋" w:cs="宋体"/>
          <w:b/>
          <w:kern w:val="0"/>
          <w:sz w:val="52"/>
          <w:szCs w:val="52"/>
        </w:rPr>
      </w:pPr>
    </w:p>
    <w:p w14:paraId="756C3C49">
      <w:pPr>
        <w:spacing w:line="540" w:lineRule="exact"/>
        <w:jc w:val="center"/>
        <w:rPr>
          <w:rFonts w:ascii="华文中宋" w:hAnsi="华文中宋" w:eastAsia="华文中宋" w:cs="宋体"/>
          <w:b/>
          <w:kern w:val="0"/>
          <w:sz w:val="52"/>
          <w:szCs w:val="52"/>
        </w:rPr>
      </w:pPr>
    </w:p>
    <w:p w14:paraId="41A084EF">
      <w:pPr>
        <w:spacing w:line="540" w:lineRule="exact"/>
        <w:jc w:val="center"/>
        <w:rPr>
          <w:rFonts w:ascii="华文中宋" w:hAnsi="华文中宋" w:eastAsia="华文中宋" w:cs="宋体"/>
          <w:b/>
          <w:kern w:val="0"/>
          <w:sz w:val="52"/>
          <w:szCs w:val="52"/>
        </w:rPr>
      </w:pPr>
    </w:p>
    <w:p w14:paraId="6E211DF4">
      <w:pPr>
        <w:spacing w:line="540" w:lineRule="exact"/>
        <w:jc w:val="center"/>
        <w:rPr>
          <w:rFonts w:ascii="华文中宋" w:hAnsi="华文中宋" w:eastAsia="华文中宋" w:cs="宋体"/>
          <w:b/>
          <w:kern w:val="0"/>
          <w:sz w:val="52"/>
          <w:szCs w:val="52"/>
        </w:rPr>
      </w:pPr>
    </w:p>
    <w:p w14:paraId="3A364D8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670D558">
      <w:pPr>
        <w:spacing w:line="540" w:lineRule="exact"/>
        <w:jc w:val="center"/>
        <w:rPr>
          <w:rFonts w:ascii="华文中宋" w:hAnsi="华文中宋" w:eastAsia="华文中宋" w:cs="宋体"/>
          <w:b/>
          <w:kern w:val="0"/>
          <w:sz w:val="52"/>
          <w:szCs w:val="52"/>
        </w:rPr>
      </w:pPr>
    </w:p>
    <w:p w14:paraId="4DB6C9C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1BBB7D47">
      <w:pPr>
        <w:spacing w:line="540" w:lineRule="exact"/>
        <w:jc w:val="center"/>
        <w:rPr>
          <w:rFonts w:hAnsi="宋体" w:eastAsia="仿宋_GB2312" w:cs="宋体"/>
          <w:kern w:val="0"/>
          <w:sz w:val="30"/>
          <w:szCs w:val="30"/>
        </w:rPr>
      </w:pPr>
    </w:p>
    <w:p w14:paraId="13452EE8">
      <w:pPr>
        <w:spacing w:line="540" w:lineRule="exact"/>
        <w:jc w:val="center"/>
        <w:rPr>
          <w:rFonts w:hAnsi="宋体" w:eastAsia="仿宋_GB2312" w:cs="宋体"/>
          <w:kern w:val="0"/>
          <w:sz w:val="30"/>
          <w:szCs w:val="30"/>
        </w:rPr>
      </w:pPr>
    </w:p>
    <w:p w14:paraId="4ACDCAA0">
      <w:pPr>
        <w:spacing w:line="540" w:lineRule="exact"/>
        <w:jc w:val="center"/>
        <w:rPr>
          <w:rFonts w:hAnsi="宋体" w:eastAsia="仿宋_GB2312" w:cs="宋体"/>
          <w:kern w:val="0"/>
          <w:sz w:val="30"/>
          <w:szCs w:val="30"/>
        </w:rPr>
      </w:pPr>
    </w:p>
    <w:p w14:paraId="4F1A416D">
      <w:pPr>
        <w:spacing w:line="540" w:lineRule="exact"/>
        <w:rPr>
          <w:rFonts w:hAnsi="宋体" w:eastAsia="仿宋_GB2312" w:cs="宋体"/>
          <w:kern w:val="0"/>
          <w:sz w:val="30"/>
          <w:szCs w:val="30"/>
        </w:rPr>
      </w:pPr>
    </w:p>
    <w:p w14:paraId="417C502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224CBE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2025年自治区重大科技专项</w:t>
      </w:r>
    </w:p>
    <w:p w14:paraId="0772DAA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新疆维吾尔自治区科学技术厅资源配置与管理处</w:t>
      </w:r>
    </w:p>
    <w:p w14:paraId="2130DE9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新疆维吾尔自治区科学技术厅资源配置与管理处</w:t>
      </w:r>
    </w:p>
    <w:p w14:paraId="093D2EE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张海涛</w:t>
      </w:r>
    </w:p>
    <w:p w14:paraId="4F8B374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2026年03月19日</w:t>
      </w:r>
    </w:p>
    <w:p w14:paraId="02AA5FEC">
      <w:pPr>
        <w:spacing w:line="700" w:lineRule="exact"/>
        <w:ind w:firstLine="708" w:firstLineChars="236"/>
        <w:jc w:val="left"/>
        <w:rPr>
          <w:rFonts w:hAnsi="宋体" w:eastAsia="仿宋_GB2312" w:cs="宋体"/>
          <w:kern w:val="0"/>
          <w:sz w:val="30"/>
          <w:szCs w:val="30"/>
        </w:rPr>
      </w:pPr>
    </w:p>
    <w:p w14:paraId="0A9179C7">
      <w:pPr>
        <w:spacing w:line="540" w:lineRule="exact"/>
        <w:rPr>
          <w:rStyle w:val="18"/>
          <w:rFonts w:ascii="黑体" w:hAnsi="黑体" w:eastAsia="黑体"/>
          <w:b w:val="0"/>
          <w:spacing w:val="-4"/>
          <w:sz w:val="32"/>
          <w:szCs w:val="32"/>
        </w:rPr>
      </w:pPr>
    </w:p>
    <w:p w14:paraId="50DCA8B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9C3295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535FE0D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国务院关于改进加强中央财政科研项目和资金管理的若干意见》（国发〔2014〕11号）文件精神，自治区先后出台《关于改进加强自治区财政科技项目和资金管理的意见》（新财教〔2016〕14号）、《新疆维吾尔自治区重大科技专项实施细则（暂行）》（新科计字〔2016〕112号）等相关文件，明确将围绕自治区经济社会发展目标，筛选出重大战略产品、关键共性技术或重大科技工程作为重大专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围绕自治区重大战略需求和重大产业发展部署，聚焦社会稳定和长治久安、加快丝绸之路经济带核心区建设、解决民生和增加就业等重大战略需求，尤其在高新技术领域、社会基础研究类领域和农业领域，聚焦最紧急、最紧迫的问题，发挥集中力量办大事的体制优势，通过政府主动布局、多方联动开展集成式协同攻关，坚持创新链与产业链深度融合，进行全链条一体化系统布局，瞄准重点优势产业上下游若干关键节点集成资源推动突破；通过对产业竞争力整体提升具有全局性影响、带动性强的关键性技术攻关，重点解决产业发展以及民生公益领域的战略性、前瞻性核心关键技术瓶颈，培养新型人才、强化自主创新，促进科技成果转化和产业化，推动经济社会协调发展，提升产业整体竞争力，着力推动重大科技创新成果的示范推广应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重大科技专项涉及高新技术领域、社会基础研究类领域和农业领域，通过开展具有全局性影响、带动性强的关键性技术攻关，培养新型人才、强化自主创新，促进科技成果转化和产业化，推动经济、社会协调发展，提升产业整体竞争力。2025年共投入科技计划项目资金22286.25万元，持续支持了51个重大科技专项项目扎实开展后续攻关工作，着力确保了项目实施取得预期目标，有效解决了产业链中的重大创新问题，加快了重大科技创新成果的示范推广应用，促进了产业链创新链深度融合，本年共培养、引进高层次人才196人，建立行业技术规范、标准以及申请国家专利、著作权等190个，带动区域内新增就业达到494人，不断强化了科技计划项目资金监管，提高了资金使用效益，使受扶持单位及相关科研人员满意度均达到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该项目年初预算数22286.25万元，全年预算数22286.25万元，资金来源为财政拨款，截至2025年12月31日项目资金已下拨22286.25万元，下拨完成率100%。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该项目全年执行数22286.25万元，预算执行率为100%，主要用于：支持自治区重大科技专项项目支出，开展高新技术领域、社会基础研究类领域和农业领域产业关键核心技术攻关，开展基础研究与应用基础研究，并将研究成果应用于产业示范等。</w:t>
      </w:r>
    </w:p>
    <w:p w14:paraId="6D14678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CCB4F2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投入科技计划项目资金22286.25万元，持续支持51个重大科技专项项目扎实开展后续攻关工作，着力确保项目实施取得预期目标，解决产业链中重大创新问题，加快重大科技创新成果的示范推广应用，促进产业链创新链深度融合，培养、引进高层次人才190人，建立行业技术规范、标准以及申请国家专利、著作权等190个，带动区域内新增就业478人，不断强化科技计划项目资金监管，提高资金使用效益，使受扶持单位的满意度达到90%，相关科研人员满意度达到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78DE80F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29024C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65B05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作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2025年自治区重大科技专项及其预算执行情况。该项目由新疆维吾尔自治区科学技术厅负责实施，旨在充分发挥科技创新对高质量发展的支撑引领作用。项目预算涵盖从2025年1月至2025年12月全部资金投入与支出，涉及资金总额为22286.25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（4）社会影响：考察项目对社会方面的综合影响。</w:t>
      </w:r>
    </w:p>
    <w:p w14:paraId="5912862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191714A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绩效评价标准通常包括计划标准、行业标准、历史标准等，用于对绩效指标完成情况进行比较、分析、评价。具体绩效评价标准解释如下：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AD5A6D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7488B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专家、项目管理专业人员及相关领域技术成员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地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F57F60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A75D78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带动了区域内新增就业，解决了产业链中重大创新问题，加快了重大科技创新成果的示范推广应用，促进了产业链创新链深度融合，受扶持单位及相关科研人员满意度较高，整体实现了项目预期的实施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40分，得分率为100%。项目产出类指标权重为40分，得分为20分，得分率为100%。项目效益类指标权重为20分，得分为20分，得分率为100%。具体打分情况详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xml:space="preserve"> </w:t>
      </w:r>
    </w:p>
    <w:p w14:paraId="7340AC5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2F834C3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31AEA5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立项按照《新疆维吾尔自治区重大科技专项实施细则（暂行）》（新科计字〔2016〕112号），文件规定“重大专项是指由政府组织实施的重大科技项目，聚焦自治区重大战略任务和重大产业发展部署，聚焦实现社会稳定和长治久安、加快丝绸之路经济带核心区建设、解决民生和增加就业等重大战略需求，聚焦对产业竞争力整体提升具有全局性影响、带动性强的关键共性技术”，项目立项符合国家相关法律法规、国民经济发展规划及发展政策。2025年发布的自治区重大科技专项项目指南紧密围绕自治区“十大产业集群”战略性新兴产业以及种业发展目标，围绕自治区最紧急、最紧迫的问题，开展重大技术攻关，推动科技支撑高质量发展，项目符合自治区行业发展规划和政策要求。根据《预算法》，项目属于公共财政支持范围，符合《国务院关于推进中央与地方财政事权和支出责任划分改革的指导意见》（国发〔2016〕49号）中关于“地方的财政事权由地方承担支出责任”的中央、地方事权支出责任划分原则。项目按照自治区科技和经济社会的发展目标筛选，与自治区科技厅贯彻执行党中央、国务院和自治区党委、政府关于落实创新驱动发展战略方针、政策职责范围相符，围绕本年度工作重点和工作计划制定经费预算，属于部门履职所需；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立项工作严格按照《自治区科技计划项目管理办法》（新科规〔2024〕2号）相关规定程序立项，项目申请、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项目总体目标“投入科技计划项目资金22286.25万元，持续支持51个重大科技专项项目扎实开展后续攻关工作，着力确保项目实施取得预期目标，解决产业链中重大创新问题，加快重大科技创新成果的示范推广应用，促进产业链创新链深度融合，培养、引进高层次人才190人，建立行业技术规范、标准以及申请国家专利、著作权等190个，带动区域内新增就业478人，不断强化科技计划项目资金监管，提高资金使用效益，使受扶持单位的满意度达到90%，相关科研人员满意度达到90%。”设定绩效目标，具体明确了“年度完成51个重大科技专项支持任务、达成促进产业链创新链深度融合效果”的核心内容。目标设定依据充分，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将总体绩效目标细化分解为具体指标，如数量指标“支持科技计划项目数量&gt;=51个”“培养、引进高层次人才≥190人”、效益指标“带动区域内新增就业人数≥478人”等可量化、可衡量的三级指标，每个指标均明确了具体指标值，且指标值与项目目标任务数一一对应，如“持续支持51个重大科技专项项目扎实开展后续攻关工作”对应数量指标“支持科技计划项目数量&gt;=51个”。指标设定清晰无歧义，既涵盖了产出指标，也覆盖了效益指标，满足评分标准中“指标细化分解、可衡量、与任务数对应”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自治区科技厅相关处室组织专家对各项目预算编制情况进行评审。本项目预算编制以“精准测算、按需配置”为原则，结合项目实施方案及具体任务清单开展，参考既往同类项目支出水平及当前物价水平，测算支出22286.25万元。预算编制过程经过业务科室、财务部门双重审核，无漏项、超项情况，预算内容与项目“持续支持重大科技专项项目扎实开展后续攻关工作的核心任务”“支持科技计划项目的产出目标”完全匹配，资金额度与各阶段工作任务量精准适配，符合评分标准中“经过科学论证、内容与项目匹配、额度依据充分、与工作任务匹配”的全部评价要点，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按照《自治区财政科研项目资金管理办法》中“合理确定资金拨付计划。自治区科技厅要根据不同类型项目特点、研究进度、资金需求等，合理制定财政科研项目资金拨付计划。首笔财政科研项目资金拨付比例要充分尊重项目负责人意见，切实保障科研活动需要”的规定。根据各课题立项评审结果、财务专家建议，结合自治区重大科技专项年度资金总额，确定了项目数量、预算资金分配额度、本年拨付金额等，并和财政厅科教文处共同签发了《关于下达2025年自治区科技计划项目经费安排的通知》。本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65C4323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0697CD3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根据财政相关资金文件，本项目总投资22286.25万元，已分配至各个重点研发任务专项，实际拨付到位资金22286.25万元，资金到位率100%，该指标满分为4分，根据评分标准得4分。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本项目全年预算22286.25万元，全年实际支出22286.25万元，预算执行率为100%，该指标满分为4分，根据评分标准得4分。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使用严格遵守《预算法》《新疆维吾尔自治区财政科研项目资金管理办法》《行政单位财务规则》等法律法规及财务制度，全程规范可控：①资金拨付均履行“申请-审核-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过程中严格遵守《新疆维吾尔自治区科技计划项目管理办法》（新科规〔2024〕2号）、《新疆维吾尔自治区财政科研项目资金管理办法》等专项制度，制度体系覆盖项目策划、实施、监控、收尾全流程。业务管理制度明确了各部门职责分工。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全过程严格执行各项管理制度，执行效果显著：①严格遵守法律法规及管理规定；②项目合同书、阶段成果技术鉴定、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14:paraId="4C90AA7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2A243E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项目产出类指标包括产出数量方面的内容，由1个三级指标构成，权重分为40分，实际得分40分，得分率为100%。具体产出指标完成情况如下：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数量指标1：支持科技计划项目数量（个），指标值：&gt;=51个，实际完成值：51个，指标完成率100%。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数量指标2：培养、引进高层次人才（人），指标值：&gt;=190人，实际完成值：196人，指标完成率103.16%。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数量指标3：培训和指导基层技术人员（人），指标值：&gt;=1013人，实际完成值：1061人，指标完成率104.74%。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数量指标4：建立行业技术规范、标准（国际、国家、行业、地方、企业等标准）、申请国家专利/著作权数量（个），指标值：&gt;=190条，实际完成值：190条，指标完成率100%。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该指标满分为40分，根据评分标准得40分。</w:t>
      </w:r>
    </w:p>
    <w:p w14:paraId="407F399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0881C65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社会效益指标：带动区域内新增就业人数（人），指标值：&gt;=478人，实际完成值：494人，指标完成率100%。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14:paraId="18152E9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满意度指标1：受扶持单位的满意度，指标值：&gt;=90%，实际完成值：90%，指标完成率100%。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满意度指标2：受扶持单位科研人员的满意度，指标值：&gt;=90%，实际完成值：90%，指标完成率100%。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五、预算执行进度与绩效指标偏差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2025年自治区重大科技专项项目年初预算22286.25万元，全年预算22286.25万元，实际支出22286.25万元，预算执行率为100%，项目绩效指标总体完成率为101.13%，总体偏差率为1.13%，偏差原因：偏差5%以内视为基本无偏差。</w:t>
      </w:r>
    </w:p>
    <w:p w14:paraId="4C0730BE">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6C9B44DB">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目标明确、定位准确。2025年重大科技专项围绕自治区经济社会发展目标，突出重点筛选出的重大战略产品、关键共性技术或重大科技工程，旨在通过资源集成和核心技术突破，努力实现以科技发展的局部跃升带动生产力的跨越发展。同时突出重点项目技术攻关和成果转化，注重经济和社会效益，加强市场预期评估和目标可行性评价，降低专项资金使用风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项目管理。一是认真筛选项目，把真实可靠、项目单位创新能力较强、有平台支撑的项目优先纳入支持范围。二是加强项目过程管理，实行定期调研和不定期走访相结合、书面自评和现场考察相结合的方式，确保项目和资金安全。三是突出产业发展重点，科学谋划并组织实施项目，使科技项目真正服务区域主导产业发展，促进创新型产业集群形成，全面提升产业整体创新能力。四是坚持精准培育，对具有较强成长性、竞争力和转化效益的好项目、大项目，在资源上给予重点倾斜，助其迅速突破、转化落地，使之尽快发展成为高质量发展的助推器。五是项目绩效管理，严格按照财政厅相关工作要求，切实做到绩效目标管理、绩效运行监控、绩效支出自评价等全链条绩效闭环管理。对于履约不力、进度滞后的项目及时提醒督促、推动整改，确保项目按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置不够细化，项目前期工作不全面，没有深入细致科学规划地做好各项前期工作，项目实施前期已根据项目建设内容设置绩效目标，但项目绩效目标设置过于笼统，不够细化，在实际实施绩效监控和绩效评价时较为困难。绩效目标的设置应符合量化、细化的要求。</w:t>
      </w:r>
    </w:p>
    <w:p w14:paraId="0F4E8D0A">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370A0636">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开展项目绩效管理和财务管理的专题培训。建议邀请财政厅相关业务处室，就绩效管理的相关政策和制度开展有针对性的培训，将绩效管理和财务管理有机结合落实到位，强化项目承担单位责任，以提高专项资金使用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对项目绩效目标设定的业务指导。建议财政厅相关业务处室加强对科研项目绩效工作的业务指导，考虑到科研项目的不确定性、长期性等特点，指导科技厅建立和完善符合科研活动规律的科研项目绩效评价办法和指标体</w:t>
      </w:r>
      <w:bookmarkStart w:id="0" w:name="_GoBack"/>
      <w:bookmarkEnd w:id="0"/>
      <w:r>
        <w:rPr>
          <w:rStyle w:val="18"/>
          <w:rFonts w:hint="eastAsia" w:ascii="楷体" w:hAnsi="楷体" w:eastAsia="楷体"/>
          <w:spacing w:val="-4"/>
          <w:sz w:val="32"/>
          <w:szCs w:val="32"/>
        </w:rPr>
        <w:t>系。</w:t>
      </w:r>
    </w:p>
    <w:p w14:paraId="5D8E9FF5">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557E4EF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本次预算绩效评价所采集的数据受采集时间、数据来源等诸多因素的影响，可能会出现一定的偏差，进而对评价结果产生影响。</w:t>
      </w:r>
    </w:p>
    <w:p w14:paraId="72B75748">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9704EC8">
        <w:pPr>
          <w:pStyle w:val="12"/>
          <w:jc w:val="center"/>
        </w:pPr>
        <w:r>
          <w:fldChar w:fldCharType="begin"/>
        </w:r>
        <w:r>
          <w:instrText xml:space="preserve">PAGE   \* MERGEFORMAT</w:instrText>
        </w:r>
        <w:r>
          <w:fldChar w:fldCharType="separate"/>
        </w:r>
        <w:r>
          <w:rPr>
            <w:lang w:val="zh-CN"/>
          </w:rPr>
          <w:t>1</w:t>
        </w:r>
        <w:r>
          <w:fldChar w:fldCharType="end"/>
        </w:r>
      </w:p>
    </w:sdtContent>
  </w:sdt>
  <w:p w14:paraId="0C2A508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0DD0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10464</Words>
  <Characters>10908</Characters>
  <Lines>5</Lines>
  <Paragraphs>1</Paragraphs>
  <TotalTime>0</TotalTime>
  <ScaleCrop>false</ScaleCrop>
  <LinksUpToDate>false</LinksUpToDate>
  <CharactersWithSpaces>10956</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2026-09-02T06:54:48Z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