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07E606">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2465D834">
      <w:pPr>
        <w:spacing w:line="540" w:lineRule="exact"/>
        <w:jc w:val="center"/>
        <w:rPr>
          <w:rFonts w:ascii="华文中宋" w:hAnsi="华文中宋" w:eastAsia="华文中宋" w:cs="宋体"/>
          <w:b/>
          <w:kern w:val="0"/>
          <w:sz w:val="52"/>
          <w:szCs w:val="52"/>
        </w:rPr>
      </w:pPr>
    </w:p>
    <w:p w14:paraId="67AAED18">
      <w:pPr>
        <w:spacing w:line="540" w:lineRule="exact"/>
        <w:jc w:val="center"/>
        <w:rPr>
          <w:rFonts w:ascii="华文中宋" w:hAnsi="华文中宋" w:eastAsia="华文中宋" w:cs="宋体"/>
          <w:b/>
          <w:kern w:val="0"/>
          <w:sz w:val="52"/>
          <w:szCs w:val="52"/>
        </w:rPr>
      </w:pPr>
    </w:p>
    <w:p w14:paraId="3A040A43">
      <w:pPr>
        <w:spacing w:line="540" w:lineRule="exact"/>
        <w:jc w:val="center"/>
        <w:rPr>
          <w:rFonts w:ascii="华文中宋" w:hAnsi="华文中宋" w:eastAsia="华文中宋" w:cs="宋体"/>
          <w:b/>
          <w:kern w:val="0"/>
          <w:sz w:val="52"/>
          <w:szCs w:val="52"/>
        </w:rPr>
      </w:pPr>
    </w:p>
    <w:p w14:paraId="35A4827C">
      <w:pPr>
        <w:spacing w:line="540" w:lineRule="exact"/>
        <w:jc w:val="center"/>
        <w:rPr>
          <w:rFonts w:ascii="华文中宋" w:hAnsi="华文中宋" w:eastAsia="华文中宋" w:cs="宋体"/>
          <w:b/>
          <w:kern w:val="0"/>
          <w:sz w:val="52"/>
          <w:szCs w:val="52"/>
        </w:rPr>
      </w:pPr>
    </w:p>
    <w:p w14:paraId="1AE89001">
      <w:pPr>
        <w:spacing w:line="540" w:lineRule="exact"/>
        <w:jc w:val="center"/>
        <w:rPr>
          <w:rFonts w:ascii="华文中宋" w:hAnsi="华文中宋" w:eastAsia="华文中宋" w:cs="宋体"/>
          <w:b/>
          <w:kern w:val="0"/>
          <w:sz w:val="52"/>
          <w:szCs w:val="52"/>
        </w:rPr>
      </w:pPr>
    </w:p>
    <w:p w14:paraId="0EFAD820">
      <w:pPr>
        <w:spacing w:line="540" w:lineRule="exact"/>
        <w:jc w:val="center"/>
        <w:rPr>
          <w:rFonts w:ascii="华文中宋" w:hAnsi="华文中宋" w:eastAsia="华文中宋" w:cs="宋体"/>
          <w:b/>
          <w:kern w:val="0"/>
          <w:sz w:val="52"/>
          <w:szCs w:val="52"/>
        </w:rPr>
      </w:pPr>
    </w:p>
    <w:p w14:paraId="25464E83">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4382590C">
      <w:pPr>
        <w:spacing w:line="540" w:lineRule="exact"/>
        <w:jc w:val="center"/>
        <w:rPr>
          <w:rFonts w:ascii="华文中宋" w:hAnsi="华文中宋" w:eastAsia="华文中宋" w:cs="宋体"/>
          <w:b/>
          <w:kern w:val="0"/>
          <w:sz w:val="52"/>
          <w:szCs w:val="52"/>
        </w:rPr>
      </w:pPr>
    </w:p>
    <w:p w14:paraId="197DC1F8">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14:paraId="50614D06">
      <w:pPr>
        <w:spacing w:line="540" w:lineRule="exact"/>
        <w:jc w:val="center"/>
        <w:rPr>
          <w:rFonts w:hAnsi="宋体" w:eastAsia="仿宋_GB2312" w:cs="宋体"/>
          <w:kern w:val="0"/>
          <w:sz w:val="30"/>
          <w:szCs w:val="30"/>
        </w:rPr>
      </w:pPr>
    </w:p>
    <w:p w14:paraId="08247AF3">
      <w:pPr>
        <w:spacing w:line="540" w:lineRule="exact"/>
        <w:jc w:val="center"/>
        <w:rPr>
          <w:rFonts w:hAnsi="宋体" w:eastAsia="仿宋_GB2312" w:cs="宋体"/>
          <w:kern w:val="0"/>
          <w:sz w:val="30"/>
          <w:szCs w:val="30"/>
        </w:rPr>
      </w:pPr>
    </w:p>
    <w:p w14:paraId="3AD8839B">
      <w:pPr>
        <w:spacing w:line="540" w:lineRule="exact"/>
        <w:jc w:val="center"/>
        <w:rPr>
          <w:rFonts w:hAnsi="宋体" w:eastAsia="仿宋_GB2312" w:cs="宋体"/>
          <w:kern w:val="0"/>
          <w:sz w:val="30"/>
          <w:szCs w:val="30"/>
        </w:rPr>
      </w:pPr>
    </w:p>
    <w:p w14:paraId="63B11F44">
      <w:pPr>
        <w:spacing w:line="540" w:lineRule="exact"/>
        <w:rPr>
          <w:rFonts w:hAnsi="宋体" w:eastAsia="仿宋_GB2312" w:cs="宋体"/>
          <w:kern w:val="0"/>
          <w:sz w:val="30"/>
          <w:szCs w:val="30"/>
        </w:rPr>
      </w:pPr>
    </w:p>
    <w:p w14:paraId="0028EFC8">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4A96931D">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2025年自治区科技成果转化示范专项</w:t>
      </w:r>
    </w:p>
    <w:p w14:paraId="44C829F0">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新疆维吾尔自治区科学技术厅资源配置与管理处</w:t>
      </w:r>
    </w:p>
    <w:p w14:paraId="4BB46026">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新疆维吾尔自治区科学技术厅资源配置与管理处</w:t>
      </w:r>
    </w:p>
    <w:p w14:paraId="7AA06BCD">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张海涛</w:t>
      </w:r>
    </w:p>
    <w:p w14:paraId="4DBD4CE6">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2026年03月23日</w:t>
      </w:r>
    </w:p>
    <w:p w14:paraId="226E1FB3">
      <w:pPr>
        <w:spacing w:line="700" w:lineRule="exact"/>
        <w:ind w:firstLine="708" w:firstLineChars="236"/>
        <w:jc w:val="left"/>
        <w:rPr>
          <w:rFonts w:hAnsi="宋体" w:eastAsia="仿宋_GB2312" w:cs="宋体"/>
          <w:kern w:val="0"/>
          <w:sz w:val="30"/>
          <w:szCs w:val="30"/>
        </w:rPr>
      </w:pPr>
    </w:p>
    <w:p w14:paraId="30BBA6F3">
      <w:pPr>
        <w:spacing w:line="540" w:lineRule="exact"/>
        <w:rPr>
          <w:rStyle w:val="18"/>
          <w:rFonts w:ascii="黑体" w:hAnsi="黑体" w:eastAsia="黑体"/>
          <w:b w:val="0"/>
          <w:spacing w:val="-4"/>
          <w:sz w:val="32"/>
          <w:szCs w:val="32"/>
        </w:rPr>
      </w:pPr>
    </w:p>
    <w:p w14:paraId="6DF7675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0535EB68">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14:paraId="28ED4149">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自治区科技厅2025年科技成果转化示范专项年初设立乡村振兴产业发展科技行动计划、创新创业大赛奖励计划两大类子项目。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乡村振兴产业发展科技行动计划：结合贯彻落实中央关于乡村振兴战略的相关精神，巩固自治区脱贫攻坚成果、夯实农业生产能力，促进乡村产业全面升级，按照《自治区乡村振兴战略规划（2018—2022年）》《自治区实施乡村振兴战略科技行动方案（2018-2022年）》的部署和《自治区乡村产业发展科技行动实施方案（2021-2025年）》的要求，下达和确定了2025年度自治区科技成果转化示范专项——自治区乡村振兴产业发展科技行动计划项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创新创业大赛奖励计划：中国创新创业大赛遵循政府引导、公益支持、市场助力原则，围绕发展高科技、实现产业化、加快形成新质生产力，搭建“政、产、学、研、用、金、服、城”多向对接交流平台，发现优质企业和团队，发掘源头创新与早期项目，促进科技成果转化，优化创新创业生态，服务产业基础再造和重大关键核心技术攻关，推动重点产业链高质量发展，支撑国家高新区、国家自创区建设，助力构建以科技创新为引领、以先进制造业为支撑的现代化产业体系，加快推进新型工业化和制造强国、网络强国建设？。我区于2014年举办了第三届中国创新创业大赛（新疆赛区）并启动了首届新疆创新创业大赛，截至目前已经成功举办了十一届新疆创新创业大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乡村振兴产业发展科技行动计划：支持县域农业龙头企业联合科研院所和高校，加快产学研融合，转化新技术，引进新成果，依托“企业+科研院所”等模式，大力发展特色高效农业、畜禽养殖、农副产品加工、乡村旅游等特色产业。项目目前已完成开展2025年度乡村振兴产业发展科技行动项目申报工作，经网评、会评等环节最终立项70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创新创业大赛奖励计划：2025年自治区科技厅按照工业和信息化部火炬高新技术产业开发中心《关于举办第十三届中国创新创业大赛的通知》要求，举办第十三届中国创新创业大赛（新疆赛区）暨第十一届新疆创新创业大赛。我厅联合教育厅、人社厅、市场监管局、地方金融管理局、工商联共同举办了第十一届新疆创新创业大赛，大赛共有1273家企业报名。通过比赛层层选拔，最终有36家企业成功晋级国家赛，22家企业跻身自治区总决赛并决出一、二、三等奖，14家单位获得优秀组织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（1）资金投入情况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该项目年初预算数4976万元，全年预算数4967万元，资金来源为财政拨款，截至2025年12月31日项目资金已下拨4967万元，下拨完成率100%。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截至2025年12月31日，该项目全年执行数4967万元，预算执行率为100%，主要用于：①乡村振兴产业发展科技行动计划支出立项单位资金拨付；②第十一届新疆创新创业大赛获奖企业奖励、优秀组织单位奖励、大赛工作经费。</w:t>
      </w:r>
    </w:p>
    <w:p w14:paraId="776C956C">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14:paraId="4B2E863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投入科技计划项目资金4967万元，继续支持68个乡村振兴产业发展行动计划项目，进一步巩固自治区脱贫攻坚成果、完善脱贫长效机制，把产业链延伸、产业升级与实现稳定脱贫有机结合，夯实农业生产能力，促进乡村产业全面升级。项目支持内容包含：种养殖技术水平提升和现代种业自主创新、农产品加工技术提升和加工产业升级、乡村特色产业拓展和现代农业新业态发展、完善农业科技创新体系和强化农业科技成果推广与服务等乡村产业发展重点任务。组织举办新疆创新创业大赛，服务企业600余家，充分调动企业创新创业激情及科研人员创新研发积极性，引导企业大力创新，提升企业创新能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阶段性目标围绕项目总体目标，按项目实施周期合理拆解，前期聚焦项目筹备与基础保障工作，完成方案细化、资源配置、前期调研等核心任务，确保项目具备实施条件；中期集中推进核心业务开展“服务企业数量、培训和指导基层技术人员”等关键工作，稳步达成阶段性产出数量与质量要求；后期重点完成成果整合、资料归档、验收收尾等工作，同步开展效果自评与反馈收集，各阶段均严格把控进度节点、质量标准与预算执行，确保有序衔接、逐步落地总体目标。</w:t>
      </w:r>
    </w:p>
    <w:p w14:paraId="5295CEF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14:paraId="6448A589">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526C8D94">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1.绩效评价的目的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（1）评估项目实施效果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通过对项目预算执行情况及各项绩效目标达成程度的系统性分析，全面、客观地评估项目在预定周期内的实施效果，包括社会效益指标，为项目后续的改进与优化提供科学依据。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（2）提升资源利用效率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（3）强化项目管理责任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（4）为决策提供支持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项目主管部门、财政部门及相关决策层提供详实、准确的绩效评价信息，辅助其在项目审批、预算安排、政策调整等关键决策环节作出更加科学、合理的判断，促进项目资源的合理分配与有效整合，推动项目管理体系的不断完善与升级，提升公共资源配置的精准度与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（5）促进项目持续改进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2.绩效评价的对象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的评价对象是自治区科技成果转化示范专项及其预算执行情况。该项目由张海涛负责实施，旨在继续支持68个乡村振兴产业发展行动计划项目，进一步巩固自治区脱贫攻坚成果，促进乡村产业全面升级；组织举办新疆创新创业大赛，充分调动企业创新创业激情及科研人员创新研发积极性，引导企业大力创新，提升企业创新能力。项目预算涵盖2025年全年的全部资金投入与支出，涉及资金总额为4967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3.绩效评价的范围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本项目预算绩效评价报告的评价范围广泛而全面，涵盖了从项目立项至评价时点期间的所有关键预算活动和财务流程。具体而言，评价范围包括但不限于以下几个方面：</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项目预算编制与执行：全面审视项目预算的编制依据、合理性、科学性以及实际执行情况，包括预算调整的原因和效果。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资金管理：深入分析项目资金的分配、使用和监管情况，确保资金使用的合规性、高效性和透明度。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项目实施进度与产出：评估项目是否按照既定计划顺利推进，各项任务是否按时完成，以及项目产出的数量、质量和时效性是否符合预期。</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（4）社会影响：考察项目对社会方面的综合影响。</w:t>
      </w:r>
    </w:p>
    <w:p w14:paraId="39FB3CFE">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14:paraId="177F256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本次项目绩效评价遵循以下基本原则：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（2）统筹兼顾。单位自评、部门评价和财政评价应职责明确，各有侧重，相互衔接。单位自评应由项目单位自主实施，即“谁支出、谁自评”。部门评价和财政评价应在单位自评的基础上开展。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绩效评价框架是开展绩效评价的核心。绩效评价框架包括评价准则、关键评价问题、评价指标、数据来源、数据收集方法等。指标体系建立过程如下：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（1）确定评价指标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（2）确定权重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确定各个指标相对于项目总体绩效的权重分值。在绩效评价指标体系中，项目决策权重为20分，项目过程权重为20分，项目产出权重为40分，项目效益权重为20分。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（3）确定指标标准值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指标标准值是绩效评价指标的尺度，既要反映同类项目的先进水平，又要符合项目的实际绩效水平。具体采用计划标准等确定此次绩效评价指标标准值。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绩效评价总分值100分，根据综合评分结果，90（含）-100分为优、80（含）-90分为良、60（含）-80分为中、60分以下为差。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具体评价指标体系详情见附件1。</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绩效评价从项目决策、项目过程、项目产出、项目效益四个维度进行评价。评价对象为项目目标实施情况，评价核心为资金的支出完成情况和项目的产出效益。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本次评价指标中，既有定性指标又有定量指标，各类指标因考核内容不同和客观标准不同存在较大差异，因此核定具体指标时采用了不同方法，具体评价方法如下：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（1）成本效益分析法。是指将投入与产出、效益进行关联性分析的方法。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绩效评价标准通常包括计划标准、行业标准、历史标准等，用于对绩效指标完成情况进行比较、分析、评价。具体绩效评价标准解释如下：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3B523C7F">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11795803">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1.前期准备与规划</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绩效评价工作启动之初，成立了专门的评价工作小组，小组成员由财务专家、项目管理专业人员及相关领域技术成员组成，确保从多角度、全方位对项目绩效进行评价。同时，明确了评价工作的目标、范围、重点及时间安排，制定了详细的工作计划，为评价工作的顺利开展奠定了坚实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2.指标体系构建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3.数据收集与整理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4.数据分析与评估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地改进建议提供了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5.报告撰写与反馈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6.后续跟踪与改进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5F13EB5B">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14:paraId="1A7CB0F7">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围绕预设绩效目标稳步推进，整体实施成效良好。目标达成方面，核心任务均按计划落地。项目管理层面，通过规范的立项审批、科学的预算编制与严格的资金管控，保障了项目实施的合规性与高效性，管理制度健全且执行到位，未出现重大流程偏差或资金使用问题。产出成果上，项目产出数量满足计划要求，质量符合相关标准规范，产出时效与成本控制均达到预期目标，综合效益方面，项目在社会效益上发挥了积极作用，组织举办的创新创业大赛积极带动了新疆地区科技型中小企业创新创业积极性，改善了新疆地区创新生态环境，整体实现了项目预期的实施价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20分，得分率为100%。项目过程类指标权重为20分，得分为20分，得分率为100%。项目产出类指标权重为40分，得分为40分，得分率为100%。项目效益类指标权重为20分，得分为20分，得分率为100%。具体打分情况详见下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表1综合评分表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w:t>
      </w:r>
      <w:r>
        <w:rPr>
          <w:rStyle w:val="18"/>
          <w:rFonts w:hint="eastAsia" w:ascii="楷体" w:hAnsi="楷体" w:eastAsia="楷体"/>
          <w:spacing w:val="-4"/>
          <w:sz w:val="32"/>
          <w:szCs w:val="32"/>
        </w:rPr>
        <w:tab/>
        <w:t>权重分</w:t>
      </w:r>
      <w:r>
        <w:rPr>
          <w:rStyle w:val="18"/>
          <w:rFonts w:hint="eastAsia" w:ascii="楷体" w:hAnsi="楷体" w:eastAsia="楷体"/>
          <w:spacing w:val="-4"/>
          <w:sz w:val="32"/>
          <w:szCs w:val="32"/>
        </w:rPr>
        <w:tab/>
        <w:t>得分</w:t>
      </w:r>
      <w:r>
        <w:rPr>
          <w:rStyle w:val="18"/>
          <w:rFonts w:hint="eastAsia" w:ascii="楷体" w:hAnsi="楷体" w:eastAsia="楷体"/>
          <w:spacing w:val="-4"/>
          <w:sz w:val="32"/>
          <w:szCs w:val="32"/>
        </w:rPr>
        <w:tab/>
        <w:t xml:space="preserve">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项目决策</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 xml:space="preserve">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项目过程</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 xml:space="preserve">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项目产出</w:t>
      </w:r>
      <w:r>
        <w:rPr>
          <w:rStyle w:val="18"/>
          <w:rFonts w:hint="eastAsia" w:ascii="楷体" w:hAnsi="楷体" w:eastAsia="楷体"/>
          <w:spacing w:val="-4"/>
          <w:sz w:val="32"/>
          <w:szCs w:val="32"/>
        </w:rPr>
        <w:tab/>
        <w:t>40</w:t>
      </w:r>
      <w:r>
        <w:rPr>
          <w:rStyle w:val="18"/>
          <w:rFonts w:hint="eastAsia" w:ascii="楷体" w:hAnsi="楷体" w:eastAsia="楷体"/>
          <w:spacing w:val="-4"/>
          <w:sz w:val="32"/>
          <w:szCs w:val="32"/>
        </w:rPr>
        <w:tab/>
        <w:t>40</w:t>
      </w:r>
      <w:r>
        <w:rPr>
          <w:rStyle w:val="18"/>
          <w:rFonts w:hint="eastAsia" w:ascii="楷体" w:hAnsi="楷体" w:eastAsia="楷体"/>
          <w:spacing w:val="-4"/>
          <w:sz w:val="32"/>
          <w:szCs w:val="32"/>
        </w:rPr>
        <w:tab/>
        <w:t xml:space="preserve">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项目效益</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 xml:space="preserve">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 xml:space="preserve"> </w:t>
      </w:r>
    </w:p>
    <w:p w14:paraId="7E869E34">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14:paraId="20F484B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14:paraId="3A74A681">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项目决策类指标包括项目立项、绩效目标和资金投入三方面的内容，由6个三级指标构成，权重分值为20分，实际得分20分，得分率为100%。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依据《自治区乡村振兴战略规划（2018—2022年）》《自治区实施乡村振兴战略科技行动方案（2018-2022年）》的部署和《自治区乡村产业发展科技行动实施方案（2021-2025年）》《关于举办第十三届中国创新创业大赛的通知》等文件立项，立项符合国家相关法律法规及发展政策，符合行业规划要求，围绕本年度工作重点和工作计划制定经费预算，属于公共财政支持范围。项目实施前已梳理部门内部及跨部门同类项目，明确本项目的差异化定位，无重复立项情况；部门发展规划、职能文件、政策依据等资料齐全并规范归档，完全满足评分标准中“立项符合政策、与部门职责匹配、无重复立项”的全部评价要点，故得满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申请、设立过程符合相关要求，严格按照审批流程准备符合要求的文件、材料；编制工作计划和经费预算，经过与部门项目分管领导沟通、筛选确定经费预算计划，最终通过部门集体决策会议审议确定立项，全程形成完整的审批文件、专家论证意见、会议纪要等资料，符合评分标准中“程序合规、材料齐全、经过论证与集体决策”的要求，故得满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围绕总目标“投入科技计划项目资金4967万元，继续支持68个乡村振兴产业发展行动计划项目，进一步巩固自治区脱贫攻坚成果、完善脱贫长效机制，把产业链延伸、产业升级与实现稳定脱贫有机结合，夯实农业生产能力，促进乡村产业全面升级。项目支持内容包含：种养殖技术水平提升和现代种业自主创新、农产品加工技术提升和加工产业升级、乡村特色产业拓展和现代农业新业态发展、完善农业科技创新体系和强化农业科技成果推广与服务等乡村产业发展重点任务。组织举办新疆创新创业大赛，服务企业600余家，充分调动企业创新创业激情及科研人员创新研发积极性，引导企业大力创新，提升企业创新能力。”设定绩效目标，具体明确了“乡村振兴产业发展行动计划项目、服务企业数量”的核心内容。目标设定依据充分，既参考了科技型中小企业创新创业群体规模，又匹配了部门年度工作重点，未超出项目实施的技术、资源、时间约束。绩效目标与项目实际工作内容高度相关，如：“支持科技计划项目数量&gt;=68个”目标直接服务于“支持68个乡村振兴产业发展行动计划，促进乡村产业全面升级”的工作核心。完全符合评分标准中“目标有依据、与实际相关、效益符合正常业绩水平、与预算匹配”的评价要点，故得满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将总体绩效目标细化分解为数量指标“支持科技计划项目数量&gt;=68个”“服务企业数量&gt;=600家”、效益指标“带动区域内新增就业人数&gt;=200人”等可量化、可衡量的三级指标，每个指标均明确了具体指标值，如：“举办培训班数量&gt;20次”“培训和指导基层技术人员&gt;=400人”，且指标值与项目目标任务数一一对应，如：“继续支持68个乡村振兴产业发展行动计划项目”对应数量指标“支持科技计划项目数量&gt;=68个”。指标设定清晰无歧义，既涵盖了产出指标，也覆盖了效益指标，满足评分标准中“指标细化分解、可衡量、与任务数对应”的要求，故得满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编制以“精准测算、按需配置”为原则，结合项目实施方案及具体任务清单开展，参考既往同类项目支出水平及当前物价水平，测算支出4967万元。预算编制过程经过业务科室、财务部门双重审核，无漏项、超项情况，预算内容与项目“支持科技计划项目核心任务”“服务企业数量产出目标”完全匹配，资金额度与各阶段工作任务量精准适配，符合评分标准中“经过科学论证、内容与项目匹配、额度依据充分、与工作任务匹配”的全部评价要点，故得满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本项目的资金分配遵循了公平、公正、透明的原则，确保了项目资源的合理配置与高效利用。在资金分配过程中，充分考虑了项目的实际需求与目标，对不同阶段、不同任务的资金进行了科学的规划与安排。</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具体而言，资金分配紧密结合了项目的特点与实际情况，对关键领域与重要环节给予了重点支持。同时，也注重资金的均衡分配，避免了资源浪费与资金闲置。此外，资金分配还充分考虑了风险因素，对可能出现的超支情况进行了预留与调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故得满分。</w:t>
      </w:r>
    </w:p>
    <w:p w14:paraId="1BDF579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14:paraId="68778445">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项目过程类指标包括资金管理和组织实施两方面的内容，由5个三级指标构成，权重分值为20分，实际得分20分，得分率为100%。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根据财政相关资金文件，本项目总投资4967万元，已分配至各个子项目，实际拨付到位资金4967万元，资金到位率100%，该指标满分为4分，根据评分标准得4分。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本项目全年预算4967万元，全年实际支出4967万元，预算执行率为100%，该指标满分为4分，根据评分标准得4分。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资金使用严格遵守《预算法》《新疆创新创业奖励资金管理办法》《行政单位财务规则》等法律法规及财务制度，全程规范可控：①资金拨付均履行“申请-审核-审批”流程，附完整的合同、发票、验收单等佐证资料，不存在无依据拨付情况；②严格执行专款专用，所有支出均与项目预算批复用途一致，无截留、挤占、挪用或虚列支出等违规行为；③财务核算规范，按项目单独建账、单独核算，支出科目分类准确，凭证齐全完整。项目实施期间未发生财务审计问题，完全符合评分标准中“符合财经法规、审批手续完备、用途合规、无违规行为”的全部要求，故得满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单位已制定《新疆创新创业大赛奖励资金管理办法》等一系列专项制度，制度体系覆盖项目策划、实施、监控、收尾全流程。业务管理制度明确了各部门职责分工。财务管理制度细化了资金拨付流程、报销标准、账务核算要求。所有制度均合法合规、内容完整，且与项目的实施特点高度适配，为项目顺利推进提供了坚实制度保障，符合评分标准中“有完善的财务和业务管理制度、制度合法合规完整”的要求，故得满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全过程严格执行各项管理制度，执行效果显著：①严格遵守法律法规及管理规定；②大赛通知，大赛结果公示、财务凭证等资料齐全，均按要求及时归档；③人员、场地、设备等实施条件全部落实到位，满足项目实施需求。制度执行无偏差，有效保障了项目按计划推进，符合评分标准中“遵守相关规定、调整手续完备、资料齐全归档、实施条件落实”的要求，故得满分。</w:t>
      </w:r>
    </w:p>
    <w:p w14:paraId="35A2F47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14:paraId="2DFE57C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项目产出类指标包括产出数量方面的内容，由1个三级指标构成，权重分为40分，实际得分40分，得分率为100%。具体产出指标完成情况如下：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（1）实际完成率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数量指标1：支持科技计划项目数量（个），指标值：&gt;=68个，实际完成值：70个，指标完成率102.94%。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数量指标2：服务企业数量（家），指标值：&gt;=600家，实际完成值：625家，指标完成率104.17%。</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数量指标3：举办培训班数量（次），指标值：&gt;20次，实际完成值：21次，指标完成率100%。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数量指标4：培训和指导基层技术人员（人），指标值：&gt;=400人，实际完成值：410人，指标完成率102.50%。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该指标满分为40分，根据评分标准得40分。</w:t>
      </w:r>
    </w:p>
    <w:p w14:paraId="26AF139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14:paraId="0E2864B0">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项目效益类指标包括项目实施效益和满意度两方面的内容，由2个三级指标构成，权重分为20分，实际得分20分，得分率为100%。具体效益指标及满意度指标完成情况如下：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社会效益指标：带动区域内新增就业人数（人），指标值：&gt;=200人，实际完成值：211人，指标完成率100%。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该指标满分为10分，根据评分标准得10分。</w:t>
      </w:r>
    </w:p>
    <w:p w14:paraId="541A3545">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满意度指标1：受扶持单位的满意度，指标值：&gt;=90%，实际完成值：90%，指标完成率100%。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满意度指标2：受扶持单位科研人员的满意度，指标值：&gt;=90%，实际完成值：90%，指标完成率100%。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该指标满分为10分，根据评分标准得10分。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五、预算执行进度与绩效指标偏差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2025年自治区科技成果转化示范专项年初预算4967万元，全年预算4967万元，实际支出4967万元，预算执行率为100%，项目绩效指标总体完成率为101.37%，总体偏差率为1.37%，偏差原因：偏差5%以内视为基本无偏差。</w:t>
      </w:r>
    </w:p>
    <w:p w14:paraId="276B290E">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14:paraId="05550203">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大赛自5月启动以来得到了社会各界的积极响应，通过积极宣传、组织动员，我区共有1273家企业报名参赛，有效参赛数1025家。大赛按照地区赛-行业赛-总决赛的赛制进行，组织高端装备制造、生物医药、新材料、新一代信息技术、新能源及节能环保5个领域的企业参赛，由技术专家和金融专家共同为企业发展把脉。</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大赛的成功举办，营造了良好的创新创业氛围、搭建了企业与投融资机构互动渠道、促进了地州市重点产业的创新发展。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前期工作不全面，没有深入细致科学规划地做好各项前期工作，项目实施前期已根据项目建设内容设置绩效目标，但项目绩效目标级绩效指标设置上有一定的局限性，绩效指标设置过于笼统，不够细化，在实际实施绩效监控和绩效评价时较为困难。绩效目标的设置应符合量化、细化的要求。</w:t>
      </w:r>
    </w:p>
    <w:p w14:paraId="68FB76FC">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14:paraId="5C45ACB4">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科学编制预算，提高预算与工作目标的匹配度。确保预算与目标在质与量上高度契合：一方面，预算编制应紧扣目标制定，确保各项目标均有对应的资金保障；另一方面，基于合理测算的工作量提升预算编制精准性。同时，完善绩效管理体系，结合年度项目实施内容设定科学合理的绩效指标，严格遵循指向明确、具体细化、合理可行的原则设置项目绩效目标，更好地提升项目实施成效。</w:t>
      </w:r>
    </w:p>
    <w:p w14:paraId="3147B50D">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14:paraId="77925971">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本次预算绩效评价所采集的数据受采集时间、数据来源等诸多因素的影响，可能</w:t>
      </w:r>
      <w:bookmarkStart w:id="0" w:name="_GoBack"/>
      <w:bookmarkEnd w:id="0"/>
      <w:r>
        <w:rPr>
          <w:rStyle w:val="18"/>
          <w:rFonts w:hint="eastAsia" w:ascii="楷体" w:hAnsi="楷体" w:eastAsia="楷体"/>
          <w:spacing w:val="-4"/>
          <w:sz w:val="32"/>
          <w:szCs w:val="32"/>
        </w:rPr>
        <w:t>会出现一定的偏差，进而对评价结果产生影响。</w:t>
      </w:r>
    </w:p>
    <w:p w14:paraId="1E652C4B">
      <w:pPr>
        <w:spacing w:line="540" w:lineRule="exact"/>
        <w:ind w:firstLine="567"/>
        <w:rPr>
          <w:rStyle w:val="18"/>
          <w:rFonts w:ascii="仿宋" w:hAnsi="仿宋" w:eastAsia="仿宋"/>
          <w:b w:val="0"/>
          <w:spacing w:val="-4"/>
          <w:sz w:val="32"/>
          <w:szCs w:val="32"/>
        </w:rPr>
      </w:pPr>
    </w:p>
    <w:p w14:paraId="1C74BE98">
      <w:pPr>
        <w:spacing w:line="540" w:lineRule="exact"/>
        <w:ind w:firstLine="567"/>
        <w:rPr>
          <w:rStyle w:val="18"/>
          <w:rFonts w:ascii="仿宋" w:hAnsi="仿宋" w:eastAsia="仿宋"/>
          <w:b w:val="0"/>
          <w:spacing w:val="-4"/>
          <w:sz w:val="32"/>
          <w:szCs w:val="32"/>
        </w:rPr>
      </w:pPr>
    </w:p>
    <w:p w14:paraId="0E0B394E">
      <w:pPr>
        <w:spacing w:line="540" w:lineRule="exact"/>
        <w:ind w:firstLine="567"/>
        <w:rPr>
          <w:rStyle w:val="18"/>
          <w:rFonts w:ascii="仿宋" w:hAnsi="仿宋" w:eastAsia="仿宋"/>
          <w:b w:val="0"/>
          <w:spacing w:val="-4"/>
          <w:sz w:val="32"/>
          <w:szCs w:val="32"/>
        </w:rPr>
      </w:pPr>
    </w:p>
    <w:p w14:paraId="1BA4FA02">
      <w:pPr>
        <w:spacing w:line="540" w:lineRule="exact"/>
        <w:ind w:firstLine="567"/>
        <w:rPr>
          <w:rStyle w:val="18"/>
          <w:rFonts w:ascii="仿宋" w:hAnsi="仿宋" w:eastAsia="仿宋"/>
          <w:b w:val="0"/>
          <w:spacing w:val="-4"/>
          <w:sz w:val="32"/>
          <w:szCs w:val="32"/>
        </w:rPr>
      </w:pPr>
    </w:p>
    <w:p w14:paraId="51278619">
      <w:pPr>
        <w:spacing w:line="540" w:lineRule="exact"/>
        <w:ind w:firstLine="567"/>
        <w:rPr>
          <w:rStyle w:val="18"/>
          <w:rFonts w:ascii="仿宋" w:hAnsi="仿宋" w:eastAsia="仿宋"/>
          <w:b w:val="0"/>
          <w:spacing w:val="-4"/>
          <w:sz w:val="32"/>
          <w:szCs w:val="32"/>
        </w:rPr>
      </w:pPr>
    </w:p>
    <w:p w14:paraId="2AD1EBB4">
      <w:pPr>
        <w:spacing w:line="540" w:lineRule="exact"/>
        <w:ind w:firstLine="567"/>
        <w:rPr>
          <w:rStyle w:val="18"/>
          <w:rFonts w:ascii="仿宋" w:hAnsi="仿宋" w:eastAsia="仿宋"/>
          <w:b w:val="0"/>
          <w:spacing w:val="-4"/>
          <w:sz w:val="32"/>
          <w:szCs w:val="32"/>
        </w:rPr>
      </w:pPr>
    </w:p>
    <w:p w14:paraId="6E221551">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2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4AF23B97">
        <w:pPr>
          <w:pStyle w:val="12"/>
          <w:jc w:val="center"/>
        </w:pPr>
        <w:r>
          <w:fldChar w:fldCharType="begin"/>
        </w:r>
        <w:r>
          <w:instrText xml:space="preserve">PAGE   \* MERGEFORMAT</w:instrText>
        </w:r>
        <w:r>
          <w:fldChar w:fldCharType="separate"/>
        </w:r>
        <w:r>
          <w:rPr>
            <w:lang w:val="zh-CN"/>
          </w:rPr>
          <w:t>1</w:t>
        </w:r>
        <w:r>
          <w:fldChar w:fldCharType="end"/>
        </w:r>
      </w:p>
    </w:sdtContent>
  </w:sdt>
  <w:p w14:paraId="407C583D">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45038C5"/>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9602</Words>
  <Characters>9975</Characters>
  <Lines>5</Lines>
  <Paragraphs>1</Paragraphs>
  <TotalTime>0</TotalTime>
  <ScaleCrop>false</ScaleCrop>
  <LinksUpToDate>false</LinksUpToDate>
  <CharactersWithSpaces>10023</CharactersWithSpaces>
  <Application>WPS Office_12.1.0.26885_F1E327BC-269C-435d-A152-05C5408002CA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雨。</cp:lastModifiedBy>
  <cp:lastPrinted>2018-12-31T10:56:00Z</cp:lastPrinted>
  <dcterms:modified xsi:type="dcterms:W3CDTF">2026-09-02T06:54:07Z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2052-12.1.0.26885</vt:lpwstr>
  </property>
  <property fmtid="{D5CDD505-2E9C-101B-9397-08002B2CF9AE}" pid="3" name="ICV">
    <vt:lpwstr>160D1BA1944349B08C48068401F6E698</vt:lpwstr>
  </property>
  <property fmtid="{D5CDD505-2E9C-101B-9397-08002B2CF9AE}" pid="4" name="KSOTemplateDocerSaveRecord">
    <vt:lpwstr>eyJoZGlkIjoiYjllZTFkNzZjMTJjZjZkZjhmYWQyZGNlNGE1MTg2N2QiLCJ1c2VySWQiOiIyNTk4NTcxMjUifQ==</vt:lpwstr>
  </property>
</Properties>
</file>