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64CC43C">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14:paraId="3023F2A5">
      <w:pPr>
        <w:spacing w:line="540" w:lineRule="exact"/>
        <w:jc w:val="center"/>
        <w:rPr>
          <w:rFonts w:ascii="华文中宋" w:hAnsi="华文中宋" w:eastAsia="华文中宋" w:cs="宋体"/>
          <w:b/>
          <w:kern w:val="0"/>
          <w:sz w:val="52"/>
          <w:szCs w:val="52"/>
        </w:rPr>
      </w:pPr>
    </w:p>
    <w:p w14:paraId="2A78143A">
      <w:pPr>
        <w:spacing w:line="540" w:lineRule="exact"/>
        <w:jc w:val="center"/>
        <w:rPr>
          <w:rFonts w:ascii="华文中宋" w:hAnsi="华文中宋" w:eastAsia="华文中宋" w:cs="宋体"/>
          <w:b/>
          <w:kern w:val="0"/>
          <w:sz w:val="52"/>
          <w:szCs w:val="52"/>
        </w:rPr>
      </w:pPr>
    </w:p>
    <w:p w14:paraId="75937AD2">
      <w:pPr>
        <w:spacing w:line="540" w:lineRule="exact"/>
        <w:jc w:val="center"/>
        <w:rPr>
          <w:rFonts w:ascii="华文中宋" w:hAnsi="华文中宋" w:eastAsia="华文中宋" w:cs="宋体"/>
          <w:b/>
          <w:kern w:val="0"/>
          <w:sz w:val="52"/>
          <w:szCs w:val="52"/>
        </w:rPr>
      </w:pPr>
    </w:p>
    <w:p w14:paraId="3AE6C051">
      <w:pPr>
        <w:spacing w:line="540" w:lineRule="exact"/>
        <w:jc w:val="center"/>
        <w:rPr>
          <w:rFonts w:ascii="华文中宋" w:hAnsi="华文中宋" w:eastAsia="华文中宋" w:cs="宋体"/>
          <w:b/>
          <w:kern w:val="0"/>
          <w:sz w:val="52"/>
          <w:szCs w:val="52"/>
        </w:rPr>
      </w:pPr>
    </w:p>
    <w:p w14:paraId="114553FF">
      <w:pPr>
        <w:spacing w:line="540" w:lineRule="exact"/>
        <w:jc w:val="center"/>
        <w:rPr>
          <w:rFonts w:ascii="华文中宋" w:hAnsi="华文中宋" w:eastAsia="华文中宋" w:cs="宋体"/>
          <w:b/>
          <w:kern w:val="0"/>
          <w:sz w:val="52"/>
          <w:szCs w:val="52"/>
        </w:rPr>
      </w:pPr>
    </w:p>
    <w:p w14:paraId="0FD89181">
      <w:pPr>
        <w:spacing w:line="540" w:lineRule="exact"/>
        <w:jc w:val="center"/>
        <w:rPr>
          <w:rFonts w:ascii="华文中宋" w:hAnsi="华文中宋" w:eastAsia="华文中宋" w:cs="宋体"/>
          <w:b/>
          <w:kern w:val="0"/>
          <w:sz w:val="52"/>
          <w:szCs w:val="52"/>
        </w:rPr>
      </w:pPr>
    </w:p>
    <w:p w14:paraId="6AFBB482">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自治区财政项目支出绩效自评报告</w:t>
      </w:r>
    </w:p>
    <w:p w14:paraId="3B67C4C9">
      <w:pPr>
        <w:spacing w:line="540" w:lineRule="exact"/>
        <w:jc w:val="center"/>
        <w:rPr>
          <w:rFonts w:ascii="华文中宋" w:hAnsi="华文中宋" w:eastAsia="华文中宋" w:cs="宋体"/>
          <w:b/>
          <w:kern w:val="0"/>
          <w:sz w:val="52"/>
          <w:szCs w:val="52"/>
        </w:rPr>
      </w:pPr>
    </w:p>
    <w:p w14:paraId="3BAE5BAE">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楷体" w:hAnsi="楷体" w:eastAsia="楷体"/>
          <w:spacing w:val="-4"/>
          <w:sz w:val="32"/>
          <w:szCs w:val="32"/>
        </w:rPr>
        <w:t>2025</w:t>
      </w:r>
      <w:r>
        <w:rPr>
          <w:rFonts w:hint="eastAsia" w:hAnsi="宋体" w:eastAsia="仿宋_GB2312" w:cs="宋体"/>
          <w:kern w:val="0"/>
          <w:sz w:val="36"/>
          <w:szCs w:val="36"/>
        </w:rPr>
        <w:t xml:space="preserve">  年度）</w:t>
      </w:r>
    </w:p>
    <w:p w14:paraId="12E3C318">
      <w:pPr>
        <w:spacing w:line="540" w:lineRule="exact"/>
        <w:jc w:val="center"/>
        <w:rPr>
          <w:rFonts w:hAnsi="宋体" w:eastAsia="仿宋_GB2312" w:cs="宋体"/>
          <w:kern w:val="0"/>
          <w:sz w:val="30"/>
          <w:szCs w:val="30"/>
        </w:rPr>
      </w:pPr>
    </w:p>
    <w:p w14:paraId="22F25F3F">
      <w:pPr>
        <w:spacing w:line="540" w:lineRule="exact"/>
        <w:jc w:val="center"/>
        <w:rPr>
          <w:rFonts w:hAnsi="宋体" w:eastAsia="仿宋_GB2312" w:cs="宋体"/>
          <w:kern w:val="0"/>
          <w:sz w:val="30"/>
          <w:szCs w:val="30"/>
        </w:rPr>
      </w:pPr>
    </w:p>
    <w:p w14:paraId="468E58F1">
      <w:pPr>
        <w:spacing w:line="540" w:lineRule="exact"/>
        <w:jc w:val="center"/>
        <w:rPr>
          <w:rFonts w:hAnsi="宋体" w:eastAsia="仿宋_GB2312" w:cs="宋体"/>
          <w:kern w:val="0"/>
          <w:sz w:val="30"/>
          <w:szCs w:val="30"/>
        </w:rPr>
      </w:pPr>
    </w:p>
    <w:p w14:paraId="1C607E46">
      <w:pPr>
        <w:spacing w:line="540" w:lineRule="exact"/>
        <w:rPr>
          <w:rFonts w:hAnsi="宋体" w:eastAsia="仿宋_GB2312" w:cs="宋体"/>
          <w:kern w:val="0"/>
          <w:sz w:val="30"/>
          <w:szCs w:val="30"/>
        </w:rPr>
      </w:pPr>
    </w:p>
    <w:p w14:paraId="14F51FAA">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14:paraId="73E6DCF7">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楷体" w:hAnsi="楷体" w:eastAsia="楷体"/>
          <w:spacing w:val="-4"/>
          <w:sz w:val="32"/>
          <w:szCs w:val="32"/>
        </w:rPr>
        <w:t>2025年自治区区域协同创新专项</w:t>
      </w:r>
    </w:p>
    <w:p w14:paraId="0EAF6BE4">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8"/>
          <w:rFonts w:hint="eastAsia" w:ascii="楷体" w:hAnsi="楷体" w:eastAsia="楷体"/>
          <w:spacing w:val="-4"/>
          <w:sz w:val="28"/>
          <w:szCs w:val="28"/>
        </w:rPr>
        <w:t>新疆维吾尔自治区科学技术厅资源配置与管理处</w:t>
      </w:r>
    </w:p>
    <w:p w14:paraId="247D6969">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新疆维吾尔自治区科学技术厅资源配置与管理处</w:t>
      </w:r>
    </w:p>
    <w:p w14:paraId="4C60C99C">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8"/>
          <w:rFonts w:hint="eastAsia" w:ascii="楷体" w:hAnsi="楷体" w:eastAsia="楷体"/>
          <w:spacing w:val="-4"/>
          <w:sz w:val="32"/>
          <w:szCs w:val="32"/>
        </w:rPr>
        <w:t>张海涛</w:t>
      </w:r>
    </w:p>
    <w:p w14:paraId="22BB3A56">
      <w:pPr>
        <w:spacing w:line="540" w:lineRule="exact"/>
        <w:ind w:left="273" w:firstLine="567"/>
        <w:rPr>
          <w:rStyle w:val="18"/>
          <w:rFonts w:ascii="楷体" w:hAnsi="楷体" w:eastAsia="楷体"/>
          <w:spacing w:val="-4"/>
          <w:sz w:val="32"/>
          <w:szCs w:val="32"/>
        </w:rPr>
      </w:pPr>
      <w:r>
        <w:rPr>
          <w:rFonts w:hint="eastAsia" w:hAnsi="宋体" w:eastAsia="仿宋_GB2312" w:cs="宋体"/>
          <w:kern w:val="0"/>
          <w:sz w:val="36"/>
          <w:szCs w:val="36"/>
        </w:rPr>
        <w:t>填报时间：</w:t>
      </w:r>
      <w:r>
        <w:rPr>
          <w:rStyle w:val="18"/>
          <w:rFonts w:hint="eastAsia" w:ascii="楷体" w:hAnsi="楷体" w:eastAsia="楷体"/>
          <w:spacing w:val="-4"/>
          <w:sz w:val="32"/>
          <w:szCs w:val="32"/>
        </w:rPr>
        <w:t>2026年04月22日</w:t>
      </w:r>
    </w:p>
    <w:p w14:paraId="2B0462F5">
      <w:pPr>
        <w:spacing w:line="700" w:lineRule="exact"/>
        <w:ind w:firstLine="708" w:firstLineChars="236"/>
        <w:jc w:val="left"/>
        <w:rPr>
          <w:rFonts w:hAnsi="宋体" w:eastAsia="仿宋_GB2312" w:cs="宋体"/>
          <w:kern w:val="0"/>
          <w:sz w:val="30"/>
          <w:szCs w:val="30"/>
        </w:rPr>
      </w:pPr>
    </w:p>
    <w:p w14:paraId="0A086B41">
      <w:pPr>
        <w:spacing w:line="540" w:lineRule="exact"/>
        <w:rPr>
          <w:rStyle w:val="18"/>
          <w:rFonts w:ascii="黑体" w:hAnsi="黑体" w:eastAsia="黑体"/>
          <w:b w:val="0"/>
          <w:spacing w:val="-4"/>
          <w:sz w:val="32"/>
          <w:szCs w:val="32"/>
        </w:rPr>
      </w:pPr>
    </w:p>
    <w:p w14:paraId="20F6C607">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一、基本情况</w:t>
      </w:r>
    </w:p>
    <w:p w14:paraId="3D6C978A">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（一）项目概况。包括项目背景、主要内容及实施情况、资金投入和使用情况等。</w:t>
      </w:r>
    </w:p>
    <w:p w14:paraId="4A68A9FF">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1.项目背景</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自治区区域协同创新专项，设有科技援疆计划项目、上海合作组织科技伙伴计划及国际科技合作计划项目、丝绸之路经济带创新驱动发展试验区、乌昌石国家自主创新示范区（以下简称“两区”）科技发展计划项目，其中：</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科技援疆计划项目：主要围绕自治区对科技创新工作的总体要求，聚焦新疆“八大产业集群”建设和地方特色产业，发挥“大科技”援疆格局优势，引导区内外高校、科研院所、企业的交流合作，促进新技术、新资源、新成果在新疆转化应用和产业化发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上海合作组织科技伙伴计划及国际科技合作计划项目：以推进“一港、两区、五大中心和口岸经济带”建设，加快建设丝绸之路经济带核心区为主线，立足新发展阶段，贯彻党的二十大和二十届历次全会精神，落实国家重大外交战略部署，落实中外政府间科技合作协议及中、俄、哈、蒙合作机制内容，特别是中国新疆与中亚国家科技管理部门间的谅解备忘录内容，深度参与“一带一路”科技创新行动计划，主动融入全球科技创新网络，为加快建设面向中亚的区域科技创新中心提供有力支撑，助力我区经济社会高质量发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两区”科技发展计划项目：是按照《新疆维吾尔自治区科技计划项目管理办法》《新疆维吾尔自治区科技计划项目管理办法实施细则》《新疆维吾尔自治区财政科研项目资金管理办法》和《丝绸之路经济带创新驱动发展试验区、乌昌石国家自主创新示范区科技发展资金管理暂行办法》规定，以促进产业提质增效、加快高质量发展为主线，支持现代煤化工、新材料、新能源、装备制造、石油化工、纺织服装、电子信息、商贸物流、文化旅游、现代农业、生物医药、生态环保、大数据、民生建设等重点产业领域开展科技创新。</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2.项目主要内容及实施情况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（1）项目主要内容：</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①区域创新引导专项-科技援疆计划项目主要用于支持新疆的高校、科研院所、企事业单位与中央和全国省市（自治区）的高校、科研院所、企事业单位合作在新疆开展的研究开发与成果转化项目。</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区域创新引导专项-上海合作组织科技伙伴计划及国际科技合作计划项目主要用于支持与中亚五国、俄罗斯、蒙古、巴基斯坦等国家创新主体的科技合作，开展联合科研攻关、科技创新平台搭建、科技成果转化应用、先进技术转移、科技人文交流等；支持国家“一带一路”联合实验室、科技部国际科技合作基地以“项目+人才+基地”相结合的国际科技合作模式，聚集国内外优势科技资源，开展高水平的联合研究、加速推进国际技术双向转移转化、广泛汇聚高水平科技人才，持续产出互利共赢合作成果。鼓励技术创新中心、重点实验室、工程技术研究中心等国家、自治区认定的科技创新平台组织和开展国际科技交流合作；支持面向自治区特色优势产业和中国（新疆）自由贸易试验区以及南疆高质量发展的需求，支持与境外拥有全球领先技术的科研机构和团队合作交流，开展基础研究、应用技术研发，引进转化关键核心技术、装备，共同推动科研热点研究、难点的解决，形成引领创新的能力，助力我区重点产业加速发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两区”科技发展计划项目支持方向包括四个类别，一是创新型产业集群培育发展，支持产业链中的链主企业及骨干企业牵头，围绕关键核心技术，组织产业链相关企业或院所，联合开展强链、补链、延链的关键技术研发攻关，着力解决产业链难点、痛点、堵点问题，带动产业链上下游企业联合创新，推动产业链的延伸和产业集群共同发展；二是支持院士项目建设，支持两院院士及其团队与“两区”企业合作并在疆内落地实施的科技创新类项目。三是提升巩固企业创新主体地位，支持具有研发能力的创新性企业围绕产业发展所需的关键技术，培育增强企业的攻关研发能力，推动具有较强自主研发和技术创新能力的企业发展壮大；四是成果转移转化和产业化，支持“两区”具有研发能力的创新性企业自有技术的转化应用和引进转化疆内外新技术、新成果、新产品。</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（2）项目实施情况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截至2025年年底，该项目共投入科技计划项目资金6687.9万元，用于支持了110个自治区区域协同创新专项结转项目，支持建设“一带一路”联合实验室，开展关键技术的联合研发与示范，建设国际科技合作平台和基地，不断加强国际科技合作，提升影响力，建立了43个行业技术规范、标准；项目的实施重点突出了科技援疆机制在对口援疆工作中的重要作用，充分发挥了援疆省市特色产业及技术优势，积极引导全国科技力量向新疆集聚，有效促进了优质成果在新疆的转移转化，培训和指导专业技术人员185人，激发了科研人员的积极性和创造性，有效促进了新疆地区特色产业发展及技术水平的提升；同时围绕“两区”重点产业重点领域开展了关键核心技术和产业共性技术的研究及成果转化应用，推广转化应用新技术数量达到52件，解决了产业链中重大创新问题，助力了产业集群培育发展和“两区”经济社会高质量发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3.资金投入和使用情况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（1）资金投入情况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该项目年初预算数6687.90万元，全年预算数6687.90万元，资金来源为财政拨款，截至2025年12月31日项目资金已下拨6687.90万元，下拨完成率100%。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（2）资金使用情况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截至2025年12月31日，该项目全年执行数6687.90万元，预算执行率为100%，主要用于：科技援疆计划支出，上海合作组织科技伙伴计划及国际科技合作计划支出，丝绸之路经济带创新驱动发展试验区、乌昌石国家自主创新示范区科技计划支出。</w:t>
      </w:r>
    </w:p>
    <w:p w14:paraId="6D734118">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（二）项目绩效目标。包括总体目标和阶段性目标。</w:t>
      </w:r>
    </w:p>
    <w:p w14:paraId="3DF42FC0">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1.总体目标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投入科技计划项目资金6687.90万元，继续支持103个自治区区域协同创新专项结转项目，支持建设“一带一路”联合实验室，开展关键技术的联合研发与示范，建设国际科技合作平台和基地，不断加强国际科技合作，提升影响力；重点突出科技援疆机制在对口援疆工作中的重要作用，充分发挥援疆省市特色产业及技术优势，积极引导全国科技力量向新疆集聚，促进优质成果在新疆的转移转化，激发科研人员的积极性和创造性，有效促进新疆地区特色产业发展及技术水平提升；围绕“两区”重点产业重点领域开展关键核心技术和产业共性技术的研究及成果转化应用，解决产业链中重大创新问题，助力产业集群培育发展，培育打造一批拥有关键核心技术，产品和市场在全疆乃至全国处于领先地位的产业或企业，助力“两区”经济社会高质量发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2.阶段性目标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阶段性目标围绕项目总体目标，按项目实施周期合理拆解，前期聚焦项目筹备与基础保障工作，完成方案细化、资源配置、前期调研等核心任务，确保项目具备实施条件；中期集中推进核心业务开展等关键工作，稳步达成阶段性产出数量与质量要求；后期重点完成成果整合、资料归档、验收收尾等工作，同步开展效果自评与反馈收集，各阶段均严格把控进度节点、质量标准与预算执行，确保有序衔接、逐步落地总体目标。</w:t>
      </w:r>
    </w:p>
    <w:p w14:paraId="4A5C3895">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二、</w:t>
      </w:r>
      <w:r>
        <w:rPr>
          <w:rStyle w:val="18"/>
          <w:rFonts w:hint="eastAsia"/>
          <w:spacing w:val="-4"/>
          <w:sz w:val="32"/>
          <w:szCs w:val="32"/>
        </w:rPr>
        <w:t>绩效评价工作开展情况</w:t>
      </w:r>
    </w:p>
    <w:p w14:paraId="66E8B984">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（一）绩效评价目的、对象和范围。</w:t>
      </w:r>
    </w:p>
    <w:p w14:paraId="0863927F">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1.绩效评价的目的</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（1）评估项目实施效果</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通过对项目预算执行情况及各项绩效目标达成程度的系统性分析，全面、客观地评估项目在预定周期内的实施效果，包括社会效益指标，为项目后续的改进与优化提供科学依据。</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（2）提升资源利用效率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深入剖析项目预算资金的投入与产出关系，识别资金使用过程中的冗余环节与低效领域，挖掘潜在的资源优化配置空间，推动项目在有限的预算资源下实现更高的绩效产出，提升整体资源利用效率，确保财政资金的合理、高效运用。</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（3）强化项目管理责任</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明确项目各参与主体在预算绩效管理中的职责与任务，借助绩效评价结果对项目管理过程进行监督与问责，促使项目管理者增强责任意识，主动优化管理流程，完善内部控制机制，提高项目管理水平与执行力，保障项目按计划、高质量推进。</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（4）为决策提供支持</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为项目主管部门、财政部门及相关决策层提供详实、准确的绩效评价信息，辅助其在项目审批、预算安排、政策调整等关键决策环节作出更加科学、合理的判断，促进项目资源的合理分配与有效整合，推动项目管理体系的不断完善与升级，提升公共资源配置的精准度与有效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（5）促进项目持续改进</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基于绩效评价发现的问题与不足，提出针对性的改进建议与措施，引导项目团队聚焦关键环节，持续优化项目实施方案，加强过程监控与质量把控，形成项目绩效持续改进的良性循环，不断提升项目整体绩效水平，实现项目长期稳定发展的目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项目预算绩效评价报告的编制以提升项目绩效为核心，旨在通过科学、严谨的评价工作，为项目管理与决策提供全方位、深层次的支持，推动项目在预算约束下实现高质量、可持续发展，充分发挥财政资金的经济效益与社会效益。</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2.绩效评价的对象</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项目预算绩效评价报告的评价对象是2025年自治区区域协同创新专项及其预算执行情况。该项目由自治区科技厅负责实施，旨在促进新疆地区特色产业发展及技术水平提升，助力“两区”经济社会高质量发展。项目预算涵盖从2025年1月至2025年12月的全部资金投入与支出，涉及资金总额为6687.90万元。</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3.绩效评价的范围</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本项目预算绩效评价报告的评价范围广泛而全面，涵盖了从项目立项至评价时点期间的所有关键预算活动和财务流程。具体而言，评价范围包括但不限于以下几个方面：</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项目预算编制与执行：全面审视项目预算的编制依据、合理性、科学性以及实际执行情况，包括预算调整的原因和效果。</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资金管理：深入分析项目资金的分配、使用和监管情况，确保资金使用的合规性、高效性和透明度。</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项目实施进度与产出：评估项目是否按照既定计划顺利推进，各项任务是否按时完成，以及项目产出的数量、质量和时效性是否符合预期。</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（4）社会影响：考察项目对社会方面的综合影响。</w:t>
      </w:r>
    </w:p>
    <w:p w14:paraId="77BDC8F6">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（二）绩效评价原则、评价指标体系（附表说明）、评价方法、评价标准等。</w:t>
      </w:r>
    </w:p>
    <w:p w14:paraId="405B04A6">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1.绩效评价原则</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本次项目绩效评价遵循以下基本原则：</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（1）科学公正。绩效评价应当运用科学合理的方法，按照规范的程序，对项目绩效进行客观、公正的反映。</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（2）统筹兼顾。单位自评、部门评价和财政评价应职责明确，各有侧重，相互衔接。单位自评应由项目单位自主实施，即“谁支出、谁自评”。部门评价和财政评价应在单位自评的基础上开展。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（3）激励约束。绩效评价结果应与预算安排、政策调整、改进管理实质性挂钩，体现奖优罚劣和激励相容导向，有效要安排、低效要压减、无效要问责。</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（4）公开透明。绩效评价结果应依法依规公开，并自觉接受社会监督。</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2.评价指标体系</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绩效评价框架是开展绩效评价的核心。绩效评价框架包括评价准则、关键评价问题、评价指标、数据来源、数据收集方法等。指标体系建立过程如下：</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（1）确定评价指标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采用层次分析法，建立评价指标体系。绩效评价将指标分为项目决策指标、项目过程指标、项目产出指标、项目效益指标四个维度，最终形成一个由多个相互联系的指标组成的多层次指标体系。</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（2）确定权重</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确定各个指标相对于项目总体绩效的权重分值。在绩效评价指标体系中，项目决策权重为20分，项目过程权重为20分，项目产出权重为40分，项目效益权重为20分。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（3）确定指标标准值</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指标标准值是绩效评价指标的尺度，既要反映同类项目的先进水平，又要符合项目的实际绩效水平。具体采用计划标准等确定此次绩效评价指标标准值。</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绩效评价总分值100分，根据综合评分结果，90（含）-100分为优、80（含）-90分为良、60（含）-80分为中、60分以下为差。</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具体评价指标体系详情见附件1。</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3.绩效评价方法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绩效评价从项目决策、项目过程、项目产出、项目效益四个维度进行评价。评价对象为项目目标实施情况，评价核心为资金的支出完成情况和项目的产出效益。</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次评价指标中，既有定性指标又有定量指标，各类指标因考核内容不同和客观标准不同存在较大差异，因此核定具体指标时采用了比较法，通过梳理该项目实施方案和实际完成情况，对比分析，评价产出指标的完成情况，分析项目实施后产生的效益效果。</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4.评价标准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绩效评价标准通常包括计划标准、行业标准、历史标准等，用于对绩效指标完成情况进行比较、分析、评价。具体绩效评价标准解释如下：</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（1）计划标准。指以预先制定的目标、计划、预算、定额等作为评价标准。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（2）行业标准。指参照国家公布的行业指标数据制定的评价标准。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（3）历史标准。指参照历史数据制定的评价标准，为体现绩效改进的原则，在可实现的条件下应当确定相对较高的评价标准。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（4）财政部门和预算部门确认或认可的其他标准。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次绩效评价采用计划标准，以预先制定的目标、计划、预算、定额等作为评价标准，对比分析项目产出、效益的完成情况。对于定性指标，通过问卷调查及访谈方式，采集相关数据，运用等级描述法，设置分级标准，体现该指标认可程度的差异。对于定量指标，通过公式等方式予以量化，可以准确衡量，并设定目标值的考核指标。</w:t>
      </w:r>
    </w:p>
    <w:p w14:paraId="0D788738">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（三）绩效评价工作过程。</w:t>
      </w:r>
    </w:p>
    <w:p w14:paraId="3BCE1D2A">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1.前期准备与规划</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在项目绩效评价工作启动之初，成立了专门的评价工作小组，小组成员由财务专家、项目管理专业人员及相关领域技术成员组成，确保从多角度、全方位对项目绩效进行评价。同时，明确了评价工作的目标、范围、重点及时间安排，制定了详细的工作计划，为评价工作的顺利开展奠定了坚实基础。</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2.指标体系构建</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依据项目的性质、目标以及预期成果，构建了科学合理的绩效评价指标体系。该指标体系涵盖了项目决策、项目过程、项目产出、项目效益四个维度，选取了具有代表性和可衡量性的关键指标，并为每个指标设定了明确的评价标准与权重，确保评价结果能够全面、准确地反映项目的绩效状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3.数据收集与整理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广泛收集与项目相关的各类数据，包括财务报表、项目文档、业务数据、用户反馈等。在数据收集过程中，注重数据的质量与完整性，对缺失或异常的数据进行了合理的处理和补充。随后，对收集到的数据进行了系统的整理与分类，为后续的数据分析提供了有力支持。</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4.数据分析与评估</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对收集到的数据进行了深入挖掘与分析。通过对各项绩效指标的实际完成情况与预期目标进行对比，计算出指标的达成率，并结合指标权重进行综合评分，从而得出项目的整体绩效评价结果。在分析过程中，注重数据之间的关联性与逻辑性，深入剖析项目绩效背后的原因，识别出项目实施过程中的优势与不足，为提出有针对性的改进建议提供了依据。</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5.报告撰写与反馈</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根据数据分析与评估的结果，按照统一的格式和规范撰写项目预算绩效评价报告。报告内容包括项目背景、评价目的、评价指标体系、数据收集与分析方法、绩效评价结果、存在问题与改进建议等多个部分，力求条理清晰、重点突出、语言简洁明了。在报告撰写完成后，及时向项目实施主体及相关利益相关者进行反馈，充分听取各方意见与建议，对报告内容进行进一步的完善与优化，确保评价报告的质量与实用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6.后续跟踪与改进</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在评价报告提交后，我们将持续跟踪项目的改进措施落实情况，定期对项目绩效进行复查与评估，确保项目能够根据评价结果及时调整与优化，实现绩效的持续提升。同时，根据项目实施过程中出现的新情况、新问题，适时调整绩效评价指标体系与方法，保持评价工作的适应性与前瞻性，为项目的长期稳定发展提供有力保障。</w:t>
      </w:r>
    </w:p>
    <w:p w14:paraId="2BD91E7B">
      <w:p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rPr>
        <w:t>三、</w:t>
      </w:r>
      <w:r>
        <w:rPr>
          <w:rStyle w:val="18"/>
          <w:rFonts w:hint="eastAsia"/>
          <w:spacing w:val="-4"/>
          <w:sz w:val="32"/>
          <w:szCs w:val="32"/>
        </w:rPr>
        <w:t>综合评价情况及评价结论</w:t>
      </w:r>
    </w:p>
    <w:p w14:paraId="33183020">
      <w:pPr>
        <w:spacing w:line="540" w:lineRule="exact"/>
        <w:ind w:firstLine="567"/>
        <w:rPr>
          <w:rStyle w:val="18"/>
          <w:rFonts w:hint="eastAsia" w:ascii="楷体" w:hAnsi="楷体" w:eastAsia="楷体"/>
          <w:spacing w:val="-4"/>
          <w:sz w:val="32"/>
          <w:szCs w:val="32"/>
        </w:rPr>
      </w:pPr>
      <w:r>
        <w:rPr>
          <w:rStyle w:val="18"/>
          <w:rFonts w:hint="eastAsia" w:ascii="楷体" w:hAnsi="楷体" w:eastAsia="楷体"/>
          <w:spacing w:val="-4"/>
          <w:sz w:val="32"/>
          <w:szCs w:val="32"/>
        </w:rPr>
        <w:t>（一）评价情况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项目围绕预设绩效目标稳步推进，整体实施成效良好。目标达成方面，核心任务均按计划落地。项目管理层面，通过规范的立项审批、科学的预算编制与严格的资金管控，保障了项目实施的合规性与高效性，管理制度健全且执行到位，未出现重大流程偏差或资金使用问题。产出成果上，项目产出数量满足计划要求，质量符合相关标准规范，产出时效与成本控制均达到预期目标，综合效益方面，项目在社会效益上发挥了积极作用，充分激发了科研人员的积极性和创造性，有效促进了新疆地区特色产业发展及技术水平提升，助力了产业集群培育发展和“两区”经济社会高质量发展，整体实现了项目预期的实施价值。</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（二）评价结论</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运用绩效评价组制定的评价指标体系以及财政部《项目支出绩效评价管理办法》（财预〔2020〕10号）文件的评分标准，通过数据采集、问卷调查及访谈等方式，对本项目进行客观评价，最终评分结果：总得分为100分，属于“优”。其中，项目决策类指标权重为20分，得分为20分，得分率为100%。项目过程类指标权重为20分，得分为20分，得分率为100%。项目产出类指标权重为40分，得分为40分，得分率为100%。项目效益类指标权重为20分，得分为20分，得分率为100%。具体打分情况详见下表。</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表1综合评分表</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 </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一级指标</w:t>
      </w:r>
      <w:r>
        <w:rPr>
          <w:rStyle w:val="18"/>
          <w:rFonts w:hint="eastAsia" w:ascii="楷体" w:hAnsi="楷体" w:eastAsia="楷体"/>
          <w:spacing w:val="-4"/>
          <w:sz w:val="32"/>
          <w:szCs w:val="32"/>
        </w:rPr>
        <w:tab/>
        <w:t>权重分</w:t>
      </w:r>
      <w:r>
        <w:rPr>
          <w:rStyle w:val="18"/>
          <w:rFonts w:hint="eastAsia" w:ascii="楷体" w:hAnsi="楷体" w:eastAsia="楷体"/>
          <w:spacing w:val="-4"/>
          <w:sz w:val="32"/>
          <w:szCs w:val="32"/>
        </w:rPr>
        <w:tab/>
        <w:t>得分</w:t>
      </w:r>
      <w:r>
        <w:rPr>
          <w:rStyle w:val="18"/>
          <w:rFonts w:hint="eastAsia" w:ascii="楷体" w:hAnsi="楷体" w:eastAsia="楷体"/>
          <w:spacing w:val="-4"/>
          <w:sz w:val="32"/>
          <w:szCs w:val="32"/>
        </w:rPr>
        <w:tab/>
        <w:t xml:space="preserve">   </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项目决策</w:t>
      </w:r>
      <w:r>
        <w:rPr>
          <w:rStyle w:val="18"/>
          <w:rFonts w:hint="eastAsia" w:ascii="楷体" w:hAnsi="楷体" w:eastAsia="楷体"/>
          <w:spacing w:val="-4"/>
          <w:sz w:val="32"/>
          <w:szCs w:val="32"/>
        </w:rPr>
        <w:tab/>
        <w:t>20</w:t>
      </w:r>
      <w:r>
        <w:rPr>
          <w:rStyle w:val="18"/>
          <w:rFonts w:hint="eastAsia" w:ascii="楷体" w:hAnsi="楷体" w:eastAsia="楷体"/>
          <w:spacing w:val="-4"/>
          <w:sz w:val="32"/>
          <w:szCs w:val="32"/>
        </w:rPr>
        <w:tab/>
        <w:t>20</w:t>
      </w:r>
      <w:r>
        <w:rPr>
          <w:rStyle w:val="18"/>
          <w:rFonts w:hint="eastAsia" w:ascii="楷体" w:hAnsi="楷体" w:eastAsia="楷体"/>
          <w:spacing w:val="-4"/>
          <w:sz w:val="32"/>
          <w:szCs w:val="32"/>
        </w:rPr>
        <w:tab/>
        <w:t xml:space="preserve">   </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项目过程</w:t>
      </w:r>
      <w:r>
        <w:rPr>
          <w:rStyle w:val="18"/>
          <w:rFonts w:hint="eastAsia" w:ascii="楷体" w:hAnsi="楷体" w:eastAsia="楷体"/>
          <w:spacing w:val="-4"/>
          <w:sz w:val="32"/>
          <w:szCs w:val="32"/>
        </w:rPr>
        <w:tab/>
        <w:t>20</w:t>
      </w:r>
      <w:r>
        <w:rPr>
          <w:rStyle w:val="18"/>
          <w:rFonts w:hint="eastAsia" w:ascii="楷体" w:hAnsi="楷体" w:eastAsia="楷体"/>
          <w:spacing w:val="-4"/>
          <w:sz w:val="32"/>
          <w:szCs w:val="32"/>
        </w:rPr>
        <w:tab/>
        <w:t>20</w:t>
      </w:r>
      <w:r>
        <w:rPr>
          <w:rStyle w:val="18"/>
          <w:rFonts w:hint="eastAsia" w:ascii="楷体" w:hAnsi="楷体" w:eastAsia="楷体"/>
          <w:spacing w:val="-4"/>
          <w:sz w:val="32"/>
          <w:szCs w:val="32"/>
        </w:rPr>
        <w:tab/>
        <w:t xml:space="preserve">   </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项目产出</w:t>
      </w:r>
      <w:r>
        <w:rPr>
          <w:rStyle w:val="18"/>
          <w:rFonts w:hint="eastAsia" w:ascii="楷体" w:hAnsi="楷体" w:eastAsia="楷体"/>
          <w:spacing w:val="-4"/>
          <w:sz w:val="32"/>
          <w:szCs w:val="32"/>
        </w:rPr>
        <w:tab/>
        <w:t>40</w:t>
      </w:r>
      <w:r>
        <w:rPr>
          <w:rStyle w:val="18"/>
          <w:rFonts w:hint="eastAsia" w:ascii="楷体" w:hAnsi="楷体" w:eastAsia="楷体"/>
          <w:spacing w:val="-4"/>
          <w:sz w:val="32"/>
          <w:szCs w:val="32"/>
        </w:rPr>
        <w:tab/>
        <w:t>40</w:t>
      </w:r>
      <w:r>
        <w:rPr>
          <w:rStyle w:val="18"/>
          <w:rFonts w:hint="eastAsia" w:ascii="楷体" w:hAnsi="楷体" w:eastAsia="楷体"/>
          <w:spacing w:val="-4"/>
          <w:sz w:val="32"/>
          <w:szCs w:val="32"/>
        </w:rPr>
        <w:tab/>
        <w:t xml:space="preserve">   </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项目效益</w:t>
      </w:r>
      <w:r>
        <w:rPr>
          <w:rStyle w:val="18"/>
          <w:rFonts w:hint="eastAsia" w:ascii="楷体" w:hAnsi="楷体" w:eastAsia="楷体"/>
          <w:spacing w:val="-4"/>
          <w:sz w:val="32"/>
          <w:szCs w:val="32"/>
        </w:rPr>
        <w:tab/>
        <w:t>20</w:t>
      </w:r>
      <w:r>
        <w:rPr>
          <w:rStyle w:val="18"/>
          <w:rFonts w:hint="eastAsia" w:ascii="楷体" w:hAnsi="楷体" w:eastAsia="楷体"/>
          <w:spacing w:val="-4"/>
          <w:sz w:val="32"/>
          <w:szCs w:val="32"/>
        </w:rPr>
        <w:tab/>
        <w:t>20</w:t>
      </w:r>
      <w:r>
        <w:rPr>
          <w:rStyle w:val="18"/>
          <w:rFonts w:hint="eastAsia" w:ascii="楷体" w:hAnsi="楷体" w:eastAsia="楷体"/>
          <w:spacing w:val="-4"/>
          <w:sz w:val="32"/>
          <w:szCs w:val="32"/>
        </w:rPr>
        <w:tab/>
        <w:t xml:space="preserve">   </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合计</w:t>
      </w:r>
      <w:r>
        <w:rPr>
          <w:rStyle w:val="18"/>
          <w:rFonts w:hint="eastAsia" w:ascii="楷体" w:hAnsi="楷体" w:eastAsia="楷体"/>
          <w:spacing w:val="-4"/>
          <w:sz w:val="32"/>
          <w:szCs w:val="32"/>
        </w:rPr>
        <w:tab/>
        <w:t>100</w:t>
      </w:r>
      <w:r>
        <w:rPr>
          <w:rStyle w:val="18"/>
          <w:rFonts w:hint="eastAsia" w:ascii="楷体" w:hAnsi="楷体" w:eastAsia="楷体"/>
          <w:spacing w:val="-4"/>
          <w:sz w:val="32"/>
          <w:szCs w:val="32"/>
        </w:rPr>
        <w:tab/>
        <w:t>100</w:t>
      </w:r>
      <w:r>
        <w:rPr>
          <w:rStyle w:val="18"/>
          <w:rFonts w:hint="eastAsia" w:ascii="楷体" w:hAnsi="楷体" w:eastAsia="楷体"/>
          <w:spacing w:val="-4"/>
          <w:sz w:val="32"/>
          <w:szCs w:val="32"/>
        </w:rPr>
        <w:tab/>
        <w:t xml:space="preserve"> </w:t>
      </w:r>
    </w:p>
    <w:p w14:paraId="5B27E1EA">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w:t>
      </w:r>
      <w:r>
        <w:rPr>
          <w:rStyle w:val="18"/>
          <w:rFonts w:hint="eastAsia"/>
          <w:spacing w:val="-4"/>
          <w:sz w:val="32"/>
          <w:szCs w:val="32"/>
        </w:rPr>
        <w:t>绩效评价指标分析</w:t>
      </w:r>
      <w:r>
        <w:rPr>
          <w:rStyle w:val="18"/>
          <w:rFonts w:hint="eastAsia" w:ascii="黑体" w:hAnsi="黑体" w:eastAsia="黑体"/>
          <w:b w:val="0"/>
          <w:spacing w:val="-4"/>
          <w:sz w:val="32"/>
          <w:szCs w:val="32"/>
        </w:rPr>
        <w:t xml:space="preserve"> </w:t>
      </w:r>
    </w:p>
    <w:p w14:paraId="360F0AD8">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（一）项目决策情况。</w:t>
      </w:r>
    </w:p>
    <w:p w14:paraId="7D8F6123">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项目决策类指标包括项目立项、绩效目标和资金投入三方面的内容，由6个三级指标构成，权重分值为20分，实际得分20分，得分率为100%。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1.项目立项</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（1）立项依据充分性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该项目立项根据《新疆维吾尔自治区科技计划项目管理办法》《新疆维吾尔自治区科技计划项目管理办法实施细则》《丝绸之路经济带创新驱动发展试验区、乌昌石国家自主创新示范区科技发展资金管理暂行办法》等文件要求，结合《自治区科技创新“十四五”规划》《“十四五”东西部科技合作实施方案》等相关任务，聚焦产业发展和民生改善，发挥科技援疆优势，提出了在工业、农业、民生、数字经济和创新平台建设方面的支持方向。</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根据《2025年区域创新引导专项-科技援疆计划申报指南》，区域创新引导专项-科技援疆计划项目围绕对口援疆的战略部署和自治区对科技创新的工作部署，结合特色优势产业发展的需要，聚焦产业发展和民生改善，发挥“大科技”援疆格局的优势，促进新技术、新资源、新成果在新疆转化应用和产业化发展，提升科技援疆综合效益，为推动新疆经济社会高质量发展提供技术支撑。</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2025年区域创新引导专项-科技援疆计划项目符合自治区行业发展规划和政策要求，2025年区域创新引导专项-科技援疆计划项目按照自治区科技和经济社会的发展目标筛选，与自治区科技厅贯彻执行党中央、国务院和自治区党委、自治区人民政府关于落实国家创新驱动发展战略方针、政策职责范围相符，属于部门履职所需。</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该项目立项符合国家相关法律法规及发展政策，项目符合行业规划要求，根据《预算法》，项目属于公共财政支持范围，符合《国务院关于推进中央与地方财政事权和支出责任划分改革的指导意见》（国发〔2016〕49号）中关于“地方的财政事权由地方承担支出责任”的中央、地方事权支出责任划分原则。项目实施前已梳理部门内部及跨部门同类项目，明确本项目的差异化定位，无重复立项情况；部门发展规划、职能文件、政策依据等资料齐全并规范归档，完全满足评分标准中“立项符合政策、与部门职责匹配、无重复立项”的全部评价要点，故得满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（2）立项程序规范性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项目按照《新疆维吾尔自治区科技计划项目管理办法》和《新疆维吾尔自治区科技计划项目管理办法实施细则》中相关规定程序申请设立，审批文件、设立过程符合相关要求，严格按照审批流程准备符合要求的文件、材料；编制工作计划和经费预算，经过与部门项目分管领导沟通、筛选确定经费预算计划，最终通过部门集体决策会议审议确定立项，全程形成完整的审批文件、专家论证意见、会议纪要等资料；项目事前已经过必要的可行性研究、专家论证、风险评估、绩效评估、集体决策，符合评分标准中“程序合规、材料齐全、经过论证与集体决策”的要求，故得满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2.绩效目标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（1）绩效目标合理性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项目结合科技研发与创新类实际，围绕项目总体目标“投入科技计划项目资金6687.90万元，继续支持103个自治区区域协同创新专项结转项目，支持建设‘一带一路’联合实验室，开展关键技术的联合研发与示范，建设国际科技合作平台和基地，不断加强国际科技合作，提升影响力；重点突出科技援疆机制在对口援疆工作中的重要作用，充分发挥援疆省市特色产业及技术优势，积极引导全国科技力量向新疆集聚，促进优质成果在新疆的转移转化，激发科研人员的积极性创造性，有效促进新疆地区特色产业发展及技术水平提升；围绕‘两区’重点产业重点领域开展关键核心技术和产业共性技术的研究及成果转化应用，解决产业链中重大创新问题，助力产业集群培育发展，培育打造一批拥有关键核心技术，产品和市场在全疆乃至全国处于领先地位的产业或企业，助力‘两区’经济社会高质量发展”设定绩效目标，具体明确了“年度完成继续支持103个自治区区域协同创新专项结转项目任务，达成有效促进新疆地区特色产业发展及技术水平提升效果”的核心内容。目标设定依据充分，匹配了部门年度工作重点，未超出项目实施的技术、资源、时间约束。绩效目标与项目实际工作内容高度相关，如“支持科技计划项目”目标直接服务于“助力两区经济社会高质量发展”的工作核心，且预算资金与目标投资额精准匹配。完全符合评分标准中“目标有依据、与实际相关、效益符合正常业绩水平、与预算匹配”的评价要点，故得满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（2）绩效指标明确性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项目将总体绩效目标细化分解为数量指标“支持科技计划项目数量&gt;=103个”“推广转化应用新技术数量&gt;=41个”、效益指标“带动区域内新增就业人数&gt;=120人”等可量化、可衡量的三级指标，每个指标均明确了具体指标值，且指标值与项目目标任务数一一对应，如：“继续支持103个自治区区域协同创新专项结转项目”对应数量指标“支持科技计划项目数量&gt;=103个”。指标设定清晰无歧义，既涵盖了产出指标，也覆盖了效益指标，满足评分标准中“指标细化分解、可衡量、与任务数对应”的要求，故得满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3.资金投入</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（1）预算编制科学性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项目预算编制以“精准测算、按需配置”为原则，根据《关于进一步加强科研诚信建设的若干意见》《新疆维吾尔自治区财政科研项目资金管理办法》等文件要求，结合项目实施方案及具体任务清单开展，参考既往同类项目支出水平及当前物价水平，测算支出6687.90万元。预算编制过程经过业务科室、财务部门双重审核，无漏项、超项情况，预算内容与项目“有效促进新疆地区特色产业发展及技术水平提升的核心任务”“支持科技计划项目数量的产出目标”完全匹配。资金额度与各阶段工作任务量精准适配，符合评分标准中“经过科学论证、内容与项目匹配、额度依据充分、与工作任务匹配”的全部评价要点，故得满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（2）资金分配合理性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本项目的资金分配遵循了公平、公正、透明的原则，确保了项目资源的合理配置与高效利用。在资金分配过程中，充分考虑了项目的实际需求与目标，对不同阶段、不同任务的资金进行了科学的规划与安排。</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具体而言，资金分配紧密结合了项目的特点与实际情况，对关键领域与重要环节给予了重点支持。同时，也注重资金的均衡分配，避免了资源浪费与资金闲置。此外，资金分配还充分考虑了风险因素，对可能出现的超支情况进行了预留与调整。</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资金分配是合理的、科学的，既符合项目的实际情况，又满足了资金使用的效益最大化要求。资金分配的合理性为项目的成功实施提供了有力的保障，也为项目的绩效评价奠定了坚实的基础，故得满分。</w:t>
      </w:r>
    </w:p>
    <w:p w14:paraId="725CF2AA">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（二）项目过程情况。</w:t>
      </w:r>
    </w:p>
    <w:p w14:paraId="23E6DE48">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项目过程类指标包括资金管理和组织实施两方面的内容，由5个三级指标构成，权重分值为20分，实际得分20分，得分率为100%。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1.资金管理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（1）资金到位率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根据财政相关资金文件，本项目总投资6687.90万元，已分配至各个子项目，实际拨付到位资金6687.90万元，资金到位率100%，该指标满分为4分，根据评分标准得4分。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（2）预算执行率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本项目全年预算6687.90万元，全年实际支出6687.90万元，预算执行率为100%，该指标满分为4分，根据评分标准得4分。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（3）资金使用合规性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项目资金使用严格遵守《预算法》《丝绸之路经济带创新驱动发展试验区、乌昌石国家自主创新示范区科技发展资金管理暂行办法》《行政单位财务规则》等法律法规及财务制度，全程规范可控：①资金拨付均履行“申请-审核-审批”流程，附完整的合同、发票、验收单等佐证资料，不存在无依据拨付情况；②严格执行专款专用，所有支出均与项目预算批复用途一致，无截留、挤占、挪用或虚列支出等违规行为；③财务核算规范，按项目单独建账、单独核算，支出科目分类准确，凭证齐全完整。项目实施期间未发生财务审计问题，完全符合评分标准中“符合财经法规、审批手续完备、用途合规、无违规行为”的全部要求，故得满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2.组织实施</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（1）管理制度健全性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项目实施单位按照《新疆维吾尔自治区科技计划项目管理办法》《新疆维吾尔自治区科技计划项目管理办法实施细则（暂行）》《丝绸之路经济带创新驱动发展试验区、乌昌石国家自主创新示范区科技发展资金管理暂行办法》等一系列专项制度严格管理项目，制度体系覆盖项目组织、立项、实施过程、验收、监督全流程。业务管理制度明确了各部门职责分工。资金管理制度明确了资金支持范围与方式、资金管理与下达拨付、资金监督与检查要求。所有制度均合法合规、内容完整，且与项目的实施特点高度适配，为项目顺利推进提供了坚实制度保障，符合评分标准中“有完善的财务和业务管理制度、制度合法合规完整”的要求，故得满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（2）制度执行有效性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项目实施全过程严格执行各项管理制度，执行效果显著：①严格遵守法律法规及管理规定；②项目合同书、财务凭证等资料齐全，均按要求及时归档；③人员、场地、设备等实施条件全部落实到位，满足项目实施需求。制度执行无偏差，有效保障了项目按计划推进，符合评分标准中“遵守相关规定、调整手续完备、资料齐全归档、实施条件落实”的要求，故得满分。</w:t>
      </w:r>
    </w:p>
    <w:p w14:paraId="04D55C3F">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（三）项目产出情况。</w:t>
      </w:r>
    </w:p>
    <w:p w14:paraId="1DB0718C">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项目产出类指标包括产出数量方面的内容，由1个三级指标构成，权重分为40分，实际得分40分，得分率为100%。具体产出指标完成情况如下：</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（1）实际完成率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数量指标1：支持科技计划项目数量（个），指标值：&gt;=103个，实际完成值：110个，指标完成率106.80%。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数量指标2：建立行业技术规范、标准（国际、国家、行业、地方、企业等标准）、申请国家专利/著作权数量（个），指标值：&gt;=41个，实际完成值：43个，指标完成率104.88%。</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数量指标3：推广转化应用新技术数量（件），指标值：&gt;=50件，实际完成值：52件，指标完成率104%。</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数量指标4：培训和指导专业技术人员（人），指标值：&gt;=180人，实际完成值：185人，指标完成率102.78%。</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该指标满分为40分，根据评分标准得40分。</w:t>
      </w:r>
    </w:p>
    <w:p w14:paraId="7AAAF66A">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（四）项目效益情况。</w:t>
      </w:r>
    </w:p>
    <w:p w14:paraId="4C3B629D">
      <w:pPr>
        <w:spacing w:line="540" w:lineRule="exact"/>
        <w:ind w:firstLine="567"/>
        <w:rPr>
          <w:rStyle w:val="18"/>
          <w:rFonts w:hint="eastAsia" w:ascii="楷体" w:hAnsi="楷体" w:eastAsia="楷体"/>
          <w:spacing w:val="-4"/>
          <w:sz w:val="32"/>
          <w:szCs w:val="32"/>
        </w:rPr>
      </w:pPr>
      <w:r>
        <w:rPr>
          <w:rStyle w:val="18"/>
          <w:rFonts w:hint="eastAsia" w:ascii="楷体" w:hAnsi="楷体" w:eastAsia="楷体"/>
          <w:spacing w:val="-4"/>
          <w:sz w:val="32"/>
          <w:szCs w:val="32"/>
        </w:rPr>
        <w:t>项目效益类指标包括项目实施效益和满意度两方面的内容，由2个三级指标构成，权重分为20分，实际得分20分，得分率为100%。具体效益指标及满意度指标完成情况如下：</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（1）实施效益</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社会效益指标：带动区域内新增就业人数（人），指标值：&gt;=120个，实际完成值：130人，指标完成率100%。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该指标满分为10分，根据评分标准得10分。</w:t>
      </w:r>
    </w:p>
    <w:p w14:paraId="72F8BF83">
      <w:pPr>
        <w:spacing w:line="540" w:lineRule="exact"/>
        <w:ind w:firstLine="567"/>
        <w:rPr>
          <w:rStyle w:val="18"/>
          <w:rFonts w:hint="eastAsia" w:ascii="楷体" w:hAnsi="楷体" w:eastAsia="楷体"/>
          <w:spacing w:val="-4"/>
          <w:sz w:val="32"/>
          <w:szCs w:val="32"/>
        </w:rPr>
      </w:pPr>
      <w:r>
        <w:rPr>
          <w:rStyle w:val="18"/>
          <w:rFonts w:hint="eastAsia" w:ascii="楷体" w:hAnsi="楷体" w:eastAsia="楷体"/>
          <w:spacing w:val="-4"/>
          <w:sz w:val="32"/>
          <w:szCs w:val="32"/>
        </w:rPr>
        <w:t>（2）满意度</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满意度指标1：受扶持单位的满意度，指标值：&gt;=90%，实际完成值：90%，指标完成率100%。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满意度指标2：受扶持单位科研人员的满意度，指标值：&gt;=90%，实际完成值：90%，指标完成率100%。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该指标满分为10分，根据评分标准得10分。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五、预算执行进度与绩效指标偏差</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2025年自治区区域协同创新专项项目年初预算6687.9万元，全年预算6687.9万元，实际支出6687.9万元，预算执行率为100%，项目绩效指标总体完成率为102.93%，总体偏差率为2.93%，偏差原因：偏差5%以内视为基本无偏差。</w:t>
      </w:r>
    </w:p>
    <w:p w14:paraId="59C00DAD">
      <w:pPr>
        <w:spacing w:line="540" w:lineRule="exact"/>
        <w:ind w:firstLine="640"/>
        <w:rPr>
          <w:rStyle w:val="18"/>
          <w:rFonts w:ascii="黑体" w:hAnsi="黑体" w:eastAsia="黑体"/>
          <w:spacing w:val="-4"/>
          <w:sz w:val="32"/>
          <w:szCs w:val="32"/>
        </w:rPr>
      </w:pPr>
      <w:r>
        <w:rPr>
          <w:rStyle w:val="18"/>
          <w:rFonts w:hint="eastAsia" w:ascii="黑体" w:hAnsi="黑体" w:eastAsia="黑体"/>
          <w:b w:val="0"/>
          <w:spacing w:val="-4"/>
          <w:sz w:val="32"/>
          <w:szCs w:val="32"/>
          <w:lang w:eastAsia="zh-CN"/>
        </w:rPr>
        <w:t>五</w:t>
      </w:r>
      <w:r>
        <w:rPr>
          <w:rStyle w:val="18"/>
          <w:rFonts w:hint="eastAsia" w:ascii="黑体" w:hAnsi="黑体" w:eastAsia="黑体"/>
          <w:b w:val="0"/>
          <w:spacing w:val="-4"/>
          <w:sz w:val="32"/>
          <w:szCs w:val="32"/>
        </w:rPr>
        <w:t>、</w:t>
      </w:r>
      <w:r>
        <w:rPr>
          <w:rStyle w:val="18"/>
          <w:rFonts w:ascii="黑体" w:hAnsi="黑体" w:eastAsia="黑体"/>
          <w:b w:val="0"/>
          <w:spacing w:val="-4"/>
          <w:sz w:val="32"/>
          <w:szCs w:val="32"/>
        </w:rPr>
        <w:t>主要经验及做法、存在的问题及原因分析</w:t>
      </w:r>
    </w:p>
    <w:p w14:paraId="6A18C543">
      <w:pPr>
        <w:spacing w:line="54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（一）主要经验及做法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为确保科技援疆计划项目规范有序推进，我厅相关业务处室通过现场检查、发函、电话等方式督促项目承担单位进行整改，加强监督检查频次，根据工作安排，对在研科技援疆计划项目开展实地调研，了解项目实施情况及资金执行进度，“面对面”解读宣传科研项目管理的相关政策规定，“一对一”精准服务，为项目负责人答疑解惑，及时解决项目实施过程中遇到的问题。</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为确保上海合作组织科技伙伴计划及国际科技合作计划项目规范有序推进、实现提质增效，我厅相关业务处室综合运用函件督办、电话沟通等多元方式，督促项目承担单位扎实完成问题整改；通过加密监督检查频次，结合年度工作部署开展在研项目专项调研，全面摸清项目实施进展、资金执行情况。同时，面对面宣讲解读科研项目管理相关政策，为项目负责人提供一对一精准帮扶，及时协调破解项目实施过程中的堵点、难点问题，保障项目顺利推进。</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两区”科技计划项目在实施过程中加强项目过程管理，为确保各项目单位提高资金使用效益，在项目立项后、项目执行期满一年，向每家单位项目负责人及财务负责人宣贯财政科研经费管理相关规定及注意事项，督促各单位按照预算及时拨付和支出资金，了解项目的进展情况及存在的问题和困难，及时协调解决。</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（二）存在的问题及原因分析</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相关绩效管理方面专业知识的系统性学习有待加强。各项指标的设置要进一步优化、完善，主要在细化、量化上改进。在绩效自评过程中，由于部分人员缺乏相关绩效管理专业知识，自评价工作还存在自我审定的局限性，影响评价质量。</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对项目绩效自评表的研究分析不够，在跟踪查找项目执行中资金使用和项目实施的薄弱环节方面，动态掌握指导项目做得还不够。当前项目实施过程中，项目合同法律约束力不强，难以保证项目承担方严格履行合同规定。上述问题的存在，降低了项目实施效率，增加了科技经费的投入风险。</w:t>
      </w:r>
    </w:p>
    <w:p w14:paraId="765FA308">
      <w:pPr>
        <w:ind w:firstLine="624" w:firstLineChars="200"/>
        <w:rPr>
          <w:rStyle w:val="18"/>
          <w:rFonts w:ascii="黑体" w:hAnsi="黑体" w:eastAsia="黑体"/>
          <w:b w:val="0"/>
          <w:spacing w:val="-4"/>
          <w:sz w:val="32"/>
          <w:szCs w:val="32"/>
        </w:rPr>
      </w:pPr>
      <w:r>
        <w:rPr>
          <w:rStyle w:val="18"/>
          <w:rFonts w:hint="eastAsia" w:ascii="黑体" w:hAnsi="黑体" w:eastAsia="黑体"/>
          <w:b w:val="0"/>
          <w:spacing w:val="-4"/>
          <w:sz w:val="32"/>
          <w:szCs w:val="32"/>
          <w:lang w:eastAsia="zh-CN"/>
        </w:rPr>
        <w:t>六</w:t>
      </w:r>
      <w:r>
        <w:rPr>
          <w:rStyle w:val="18"/>
          <w:rFonts w:ascii="黑体" w:hAnsi="黑体" w:eastAsia="黑体"/>
          <w:b w:val="0"/>
          <w:spacing w:val="-4"/>
          <w:sz w:val="32"/>
          <w:szCs w:val="32"/>
        </w:rPr>
        <w:t>、有关建议</w:t>
      </w:r>
    </w:p>
    <w:p w14:paraId="0A84BBC2">
      <w:pPr>
        <w:spacing w:line="54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1.多进行有关绩效管理工作方面的培训。积极组织第三方开展绩效管理工作培训，进一步夯实业务基础，提高我单位绩效人员水平。</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2.进一步完善项目评价过程中有关数据和资料的收集、整理、审核及分析。项目启动时同步做好档案的归纳与整理，及时整理、收集、汇总，健全档案资料。项目后续管理有待进一步加强和跟踪。</w:t>
      </w:r>
    </w:p>
    <w:p w14:paraId="2E37F516">
      <w:pPr>
        <w:spacing w:line="540" w:lineRule="exact"/>
        <w:ind w:firstLine="567"/>
        <w:rPr>
          <w:rStyle w:val="18"/>
          <w:rFonts w:ascii="黑体" w:hAnsi="黑体" w:eastAsia="黑体"/>
          <w:b w:val="0"/>
          <w:spacing w:val="-4"/>
          <w:sz w:val="32"/>
          <w:szCs w:val="32"/>
        </w:rPr>
      </w:pPr>
      <w:r>
        <w:rPr>
          <w:rStyle w:val="18"/>
          <w:rFonts w:hint="eastAsia" w:ascii="黑体" w:hAnsi="黑体" w:eastAsia="黑体"/>
          <w:b w:val="0"/>
          <w:spacing w:val="-4"/>
          <w:sz w:val="32"/>
          <w:szCs w:val="32"/>
          <w:lang w:eastAsia="zh-CN"/>
        </w:rPr>
        <w:t>七</w:t>
      </w:r>
      <w:r>
        <w:rPr>
          <w:rStyle w:val="18"/>
          <w:rFonts w:hint="eastAsia" w:ascii="黑体" w:hAnsi="黑体" w:eastAsia="黑体"/>
          <w:b w:val="0"/>
          <w:spacing w:val="-4"/>
          <w:sz w:val="32"/>
          <w:szCs w:val="32"/>
        </w:rPr>
        <w:t>、其他需要说明的问题</w:t>
      </w:r>
    </w:p>
    <w:p w14:paraId="1F540C87">
      <w:pPr>
        <w:spacing w:line="54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本次预算绩</w:t>
      </w:r>
      <w:bookmarkStart w:id="0" w:name="_GoBack"/>
      <w:bookmarkEnd w:id="0"/>
      <w:r>
        <w:rPr>
          <w:rStyle w:val="18"/>
          <w:rFonts w:hint="eastAsia" w:ascii="楷体" w:hAnsi="楷体" w:eastAsia="楷体"/>
          <w:spacing w:val="-4"/>
          <w:sz w:val="32"/>
          <w:szCs w:val="32"/>
        </w:rPr>
        <w:t>效评价所采集的数据受采集时间、数据来源等诸多因素的影响，可能会出现一定的偏差，进而对评价结果产生影响。</w:t>
      </w:r>
    </w:p>
    <w:p w14:paraId="6ECF9908">
      <w:pPr>
        <w:spacing w:line="540" w:lineRule="exact"/>
        <w:ind w:firstLine="567"/>
        <w:rPr>
          <w:rStyle w:val="18"/>
          <w:rFonts w:ascii="仿宋" w:hAnsi="仿宋" w:eastAsia="仿宋"/>
          <w:b w:val="0"/>
          <w:spacing w:val="-4"/>
          <w:sz w:val="32"/>
          <w:szCs w:val="32"/>
        </w:rPr>
      </w:pPr>
    </w:p>
    <w:p w14:paraId="664A7EE5">
      <w:pPr>
        <w:spacing w:line="540" w:lineRule="exact"/>
        <w:ind w:firstLine="567"/>
        <w:rPr>
          <w:rStyle w:val="18"/>
          <w:rFonts w:ascii="仿宋" w:hAnsi="仿宋" w:eastAsia="仿宋"/>
          <w:b w:val="0"/>
          <w:spacing w:val="-4"/>
          <w:sz w:val="32"/>
          <w:szCs w:val="32"/>
        </w:rPr>
      </w:pPr>
    </w:p>
    <w:p w14:paraId="16A06D33">
      <w:pPr>
        <w:spacing w:line="540" w:lineRule="exact"/>
        <w:ind w:firstLine="567"/>
        <w:rPr>
          <w:rStyle w:val="18"/>
          <w:rFonts w:ascii="仿宋" w:hAnsi="仿宋" w:eastAsia="仿宋"/>
          <w:b w:val="0"/>
          <w:spacing w:val="-4"/>
          <w:sz w:val="32"/>
          <w:szCs w:val="32"/>
        </w:rPr>
      </w:pPr>
    </w:p>
    <w:p w14:paraId="075E90CF">
      <w:pPr>
        <w:spacing w:line="540" w:lineRule="exact"/>
        <w:ind w:firstLine="567"/>
        <w:rPr>
          <w:rStyle w:val="18"/>
          <w:rFonts w:ascii="仿宋" w:hAnsi="仿宋" w:eastAsia="仿宋"/>
          <w:b w:val="0"/>
          <w:spacing w:val="-4"/>
          <w:sz w:val="32"/>
          <w:szCs w:val="32"/>
        </w:rPr>
      </w:pPr>
    </w:p>
    <w:p w14:paraId="78390652">
      <w:pPr>
        <w:spacing w:line="540" w:lineRule="exact"/>
        <w:ind w:firstLine="567"/>
        <w:rPr>
          <w:rStyle w:val="18"/>
          <w:rFonts w:ascii="仿宋" w:hAnsi="仿宋" w:eastAsia="仿宋"/>
          <w:b w:val="0"/>
          <w:spacing w:val="-4"/>
          <w:sz w:val="32"/>
          <w:szCs w:val="32"/>
        </w:rPr>
      </w:pPr>
    </w:p>
    <w:p w14:paraId="2C9FE8EC">
      <w:pPr>
        <w:spacing w:line="540" w:lineRule="exact"/>
        <w:ind w:firstLine="567"/>
        <w:rPr>
          <w:rStyle w:val="18"/>
          <w:rFonts w:ascii="仿宋" w:hAnsi="仿宋" w:eastAsia="仿宋"/>
          <w:b w:val="0"/>
          <w:spacing w:val="-4"/>
          <w:sz w:val="32"/>
          <w:szCs w:val="32"/>
        </w:rPr>
      </w:pPr>
    </w:p>
    <w:p w14:paraId="77B2D098">
      <w:pPr>
        <w:spacing w:line="540" w:lineRule="exact"/>
        <w:ind w:firstLine="567"/>
        <w:rPr>
          <w:rStyle w:val="18"/>
          <w:rFonts w:ascii="仿宋" w:hAnsi="仿宋" w:eastAsia="仿宋"/>
          <w:b w:val="0"/>
          <w:spacing w:val="-4"/>
          <w:sz w:val="32"/>
          <w:szCs w:val="32"/>
        </w:rPr>
      </w:pPr>
    </w:p>
    <w:p w14:paraId="42372847">
      <w:pPr>
        <w:spacing w:line="540" w:lineRule="exact"/>
        <w:ind w:firstLine="567"/>
        <w:rPr>
          <w:rStyle w:val="18"/>
          <w:rFonts w:ascii="仿宋" w:hAnsi="仿宋" w:eastAsia="仿宋"/>
          <w:b w:val="0"/>
          <w:spacing w:val="-4"/>
          <w:sz w:val="32"/>
          <w:szCs w:val="32"/>
        </w:rPr>
      </w:pP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 w:name="方正小标宋_GBK">
    <w:altName w:val="微软雅黑"/>
    <w:panose1 w:val="03000502000000000000"/>
    <w:charset w:val="86"/>
    <w:family w:val="script"/>
    <w:pitch w:val="default"/>
    <w:sig w:usb0="00000000" w:usb1="0000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docPartObj>
        <w:docPartGallery w:val="autotext"/>
      </w:docPartObj>
    </w:sdtPr>
    <w:sdtContent>
      <w:p w14:paraId="3186D0BE">
        <w:pPr>
          <w:pStyle w:val="12"/>
          <w:jc w:val="center"/>
        </w:pPr>
        <w:r>
          <w:fldChar w:fldCharType="begin"/>
        </w:r>
        <w:r>
          <w:instrText xml:space="preserve">PAGE   \* MERGEFORMAT</w:instrText>
        </w:r>
        <w:r>
          <w:fldChar w:fldCharType="separate"/>
        </w:r>
        <w:r>
          <w:rPr>
            <w:lang w:val="zh-CN"/>
          </w:rPr>
          <w:t>1</w:t>
        </w:r>
        <w:r>
          <w:fldChar w:fldCharType="end"/>
        </w:r>
      </w:p>
    </w:sdtContent>
  </w:sdt>
  <w:p w14:paraId="4E9D117D">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1028C5"/>
    <w:rsid w:val="00102DFF"/>
    <w:rsid w:val="00121AE4"/>
    <w:rsid w:val="0014601B"/>
    <w:rsid w:val="00146AAD"/>
    <w:rsid w:val="00150F05"/>
    <w:rsid w:val="001B3A40"/>
    <w:rsid w:val="00273CCD"/>
    <w:rsid w:val="00291BC0"/>
    <w:rsid w:val="00311DBE"/>
    <w:rsid w:val="00345DD7"/>
    <w:rsid w:val="00351EFF"/>
    <w:rsid w:val="003B0577"/>
    <w:rsid w:val="003E7E58"/>
    <w:rsid w:val="003F5180"/>
    <w:rsid w:val="00414C3A"/>
    <w:rsid w:val="004366A8"/>
    <w:rsid w:val="004A05EE"/>
    <w:rsid w:val="004C38BC"/>
    <w:rsid w:val="004F1F3C"/>
    <w:rsid w:val="00502BA7"/>
    <w:rsid w:val="005162F1"/>
    <w:rsid w:val="00535153"/>
    <w:rsid w:val="00554F82"/>
    <w:rsid w:val="0056390D"/>
    <w:rsid w:val="005719B0"/>
    <w:rsid w:val="005A4F2E"/>
    <w:rsid w:val="005A5018"/>
    <w:rsid w:val="005C51DF"/>
    <w:rsid w:val="005D10D6"/>
    <w:rsid w:val="005E7C5E"/>
    <w:rsid w:val="0075584F"/>
    <w:rsid w:val="00855E3A"/>
    <w:rsid w:val="0091457F"/>
    <w:rsid w:val="00922CB9"/>
    <w:rsid w:val="00925D36"/>
    <w:rsid w:val="00944DD1"/>
    <w:rsid w:val="009E5CD9"/>
    <w:rsid w:val="009F4373"/>
    <w:rsid w:val="00A26421"/>
    <w:rsid w:val="00A34588"/>
    <w:rsid w:val="00A413B8"/>
    <w:rsid w:val="00A4293B"/>
    <w:rsid w:val="00A67D50"/>
    <w:rsid w:val="00A8691A"/>
    <w:rsid w:val="00A972DF"/>
    <w:rsid w:val="00AC1946"/>
    <w:rsid w:val="00AC3A96"/>
    <w:rsid w:val="00AD5E52"/>
    <w:rsid w:val="00AF683C"/>
    <w:rsid w:val="00B2343E"/>
    <w:rsid w:val="00B40063"/>
    <w:rsid w:val="00B41F61"/>
    <w:rsid w:val="00B74D04"/>
    <w:rsid w:val="00BA46E6"/>
    <w:rsid w:val="00BB5015"/>
    <w:rsid w:val="00C56C72"/>
    <w:rsid w:val="00C62CB9"/>
    <w:rsid w:val="00CA6457"/>
    <w:rsid w:val="00CA6DC2"/>
    <w:rsid w:val="00CD37A4"/>
    <w:rsid w:val="00CE2FD9"/>
    <w:rsid w:val="00D17F2E"/>
    <w:rsid w:val="00D30354"/>
    <w:rsid w:val="00D52B7C"/>
    <w:rsid w:val="00D80C1E"/>
    <w:rsid w:val="00DB1661"/>
    <w:rsid w:val="00DF42A0"/>
    <w:rsid w:val="00E30E91"/>
    <w:rsid w:val="00E769FE"/>
    <w:rsid w:val="00E774CE"/>
    <w:rsid w:val="00E96D03"/>
    <w:rsid w:val="00EA2CBE"/>
    <w:rsid w:val="00EB10A0"/>
    <w:rsid w:val="00F32FEE"/>
    <w:rsid w:val="00FB10BB"/>
    <w:rsid w:val="0CB44F22"/>
    <w:rsid w:val="4A7D3BA1"/>
    <w:rsid w:val="4C3D1751"/>
    <w:rsid w:val="4D2606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nhideWhenUsed="0" w:uiPriority="99" w:semiHidden="0" w:name="Table Subtle 1"/>
    <w:lsdException w:uiPriority="99" w:name="Table Subtle 2"/>
    <w:lsdException w:uiPriority="99" w:name="Table Web 1"/>
    <w:lsdException w:unhideWhenUsed="0" w:uiPriority="99" w:semiHidden="0" w:name="Table Web 2"/>
    <w:lsdException w:unhideWhenUsed="0" w:uiPriority="99" w:semiHidden="0"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28</Pages>
  <Words>11832</Words>
  <Characters>12208</Characters>
  <Lines>5</Lines>
  <Paragraphs>1</Paragraphs>
  <TotalTime>0</TotalTime>
  <ScaleCrop>false</ScaleCrop>
  <LinksUpToDate>false</LinksUpToDate>
  <CharactersWithSpaces>12256</CharactersWithSpaces>
  <Application>WPS Office_12.1.0.26885_F1E327BC-269C-435d-A152-05C5408002CA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雨。</cp:lastModifiedBy>
  <cp:lastPrinted>2018-12-31T10:56:00Z</cp:lastPrinted>
  <dcterms:modified xsi:type="dcterms:W3CDTF">2026-09-02T06:54:26Z</dcterms:modified>
  <cp:revision>64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2052-12.1.0.26885</vt:lpwstr>
  </property>
  <property fmtid="{D5CDD505-2E9C-101B-9397-08002B2CF9AE}" pid="3" name="ICV">
    <vt:lpwstr>160D1BA1944349B08C48068401F6E698</vt:lpwstr>
  </property>
  <property fmtid="{D5CDD505-2E9C-101B-9397-08002B2CF9AE}" pid="4" name="KSOTemplateDocerSaveRecord">
    <vt:lpwstr>eyJoZGlkIjoiYjllZTFkNzZjMTJjZjZkZjhmYWQyZGNlNGE1MTg2N2QiLCJ1c2VySWQiOiIyNTk4NTcxMjUifQ==</vt:lpwstr>
  </property>
</Properties>
</file>