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BF7695">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022CE6DB">
      <w:pPr>
        <w:spacing w:line="540" w:lineRule="exact"/>
        <w:jc w:val="center"/>
        <w:rPr>
          <w:rFonts w:ascii="华文中宋" w:hAnsi="华文中宋" w:eastAsia="华文中宋" w:cs="宋体"/>
          <w:b/>
          <w:kern w:val="0"/>
          <w:sz w:val="52"/>
          <w:szCs w:val="52"/>
        </w:rPr>
      </w:pPr>
    </w:p>
    <w:p w14:paraId="2E523976">
      <w:pPr>
        <w:spacing w:line="540" w:lineRule="exact"/>
        <w:jc w:val="center"/>
        <w:rPr>
          <w:rFonts w:ascii="华文中宋" w:hAnsi="华文中宋" w:eastAsia="华文中宋" w:cs="宋体"/>
          <w:b/>
          <w:kern w:val="0"/>
          <w:sz w:val="52"/>
          <w:szCs w:val="52"/>
        </w:rPr>
      </w:pPr>
    </w:p>
    <w:p w14:paraId="378FE2F0">
      <w:pPr>
        <w:spacing w:line="540" w:lineRule="exact"/>
        <w:jc w:val="center"/>
        <w:rPr>
          <w:rFonts w:ascii="华文中宋" w:hAnsi="华文中宋" w:eastAsia="华文中宋" w:cs="宋体"/>
          <w:b/>
          <w:kern w:val="0"/>
          <w:sz w:val="52"/>
          <w:szCs w:val="52"/>
        </w:rPr>
      </w:pPr>
    </w:p>
    <w:p w14:paraId="1799ECA6">
      <w:pPr>
        <w:spacing w:line="540" w:lineRule="exact"/>
        <w:jc w:val="center"/>
        <w:rPr>
          <w:rFonts w:ascii="华文中宋" w:hAnsi="华文中宋" w:eastAsia="华文中宋" w:cs="宋体"/>
          <w:b/>
          <w:kern w:val="0"/>
          <w:sz w:val="52"/>
          <w:szCs w:val="52"/>
        </w:rPr>
      </w:pPr>
    </w:p>
    <w:p w14:paraId="3EDA5327">
      <w:pPr>
        <w:spacing w:line="540" w:lineRule="exact"/>
        <w:jc w:val="center"/>
        <w:rPr>
          <w:rFonts w:ascii="华文中宋" w:hAnsi="华文中宋" w:eastAsia="华文中宋" w:cs="宋体"/>
          <w:b/>
          <w:kern w:val="0"/>
          <w:sz w:val="52"/>
          <w:szCs w:val="52"/>
        </w:rPr>
      </w:pPr>
    </w:p>
    <w:p w14:paraId="47CFC875">
      <w:pPr>
        <w:spacing w:line="540" w:lineRule="exact"/>
        <w:jc w:val="center"/>
        <w:rPr>
          <w:rFonts w:ascii="华文中宋" w:hAnsi="华文中宋" w:eastAsia="华文中宋" w:cs="宋体"/>
          <w:b/>
          <w:kern w:val="0"/>
          <w:sz w:val="52"/>
          <w:szCs w:val="52"/>
        </w:rPr>
      </w:pPr>
    </w:p>
    <w:p w14:paraId="7405C1B4">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12AC155B">
      <w:pPr>
        <w:spacing w:line="540" w:lineRule="exact"/>
        <w:jc w:val="center"/>
        <w:rPr>
          <w:rFonts w:ascii="华文中宋" w:hAnsi="华文中宋" w:eastAsia="华文中宋" w:cs="宋体"/>
          <w:b/>
          <w:kern w:val="0"/>
          <w:sz w:val="52"/>
          <w:szCs w:val="52"/>
        </w:rPr>
      </w:pPr>
    </w:p>
    <w:p w14:paraId="23B28A2F">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14:paraId="3D64D03B">
      <w:pPr>
        <w:spacing w:line="540" w:lineRule="exact"/>
        <w:jc w:val="center"/>
        <w:rPr>
          <w:rFonts w:hAnsi="宋体" w:eastAsia="仿宋_GB2312" w:cs="宋体"/>
          <w:kern w:val="0"/>
          <w:sz w:val="30"/>
          <w:szCs w:val="30"/>
        </w:rPr>
      </w:pPr>
    </w:p>
    <w:p w14:paraId="5CBC8813">
      <w:pPr>
        <w:spacing w:line="540" w:lineRule="exact"/>
        <w:jc w:val="center"/>
        <w:rPr>
          <w:rFonts w:hAnsi="宋体" w:eastAsia="仿宋_GB2312" w:cs="宋体"/>
          <w:kern w:val="0"/>
          <w:sz w:val="30"/>
          <w:szCs w:val="30"/>
        </w:rPr>
      </w:pPr>
    </w:p>
    <w:p w14:paraId="6B97AF3D">
      <w:pPr>
        <w:spacing w:line="540" w:lineRule="exact"/>
        <w:jc w:val="center"/>
        <w:rPr>
          <w:rFonts w:hAnsi="宋体" w:eastAsia="仿宋_GB2312" w:cs="宋体"/>
          <w:kern w:val="0"/>
          <w:sz w:val="30"/>
          <w:szCs w:val="30"/>
        </w:rPr>
      </w:pPr>
    </w:p>
    <w:p w14:paraId="765224FA">
      <w:pPr>
        <w:spacing w:line="540" w:lineRule="exact"/>
        <w:rPr>
          <w:rFonts w:hAnsi="宋体" w:eastAsia="仿宋_GB2312" w:cs="宋体"/>
          <w:kern w:val="0"/>
          <w:sz w:val="30"/>
          <w:szCs w:val="30"/>
        </w:rPr>
      </w:pPr>
    </w:p>
    <w:p w14:paraId="7B45D5C3">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C9570DC">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2025年自治区创新环境（人才、基地）建设专项</w:t>
      </w:r>
    </w:p>
    <w:p w14:paraId="24A13BB3">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新疆维吾尔自治区科学技术厅资源配置与管理处</w:t>
      </w:r>
    </w:p>
    <w:p w14:paraId="35F71DAF">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新疆维吾尔自治区科学技术厅资源配置与管理处</w:t>
      </w:r>
    </w:p>
    <w:p w14:paraId="092BE555">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张海涛</w:t>
      </w:r>
    </w:p>
    <w:p w14:paraId="3F1DE393">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2026年03月23日</w:t>
      </w:r>
    </w:p>
    <w:p w14:paraId="031E2B73">
      <w:pPr>
        <w:spacing w:line="700" w:lineRule="exact"/>
        <w:ind w:firstLine="708" w:firstLineChars="236"/>
        <w:jc w:val="left"/>
        <w:rPr>
          <w:rFonts w:hAnsi="宋体" w:eastAsia="仿宋_GB2312" w:cs="宋体"/>
          <w:kern w:val="0"/>
          <w:sz w:val="30"/>
          <w:szCs w:val="30"/>
        </w:rPr>
      </w:pPr>
    </w:p>
    <w:p w14:paraId="16183FD6">
      <w:pPr>
        <w:spacing w:line="540" w:lineRule="exact"/>
        <w:rPr>
          <w:rStyle w:val="18"/>
          <w:rFonts w:ascii="黑体" w:hAnsi="黑体" w:eastAsia="黑体"/>
          <w:b w:val="0"/>
          <w:spacing w:val="-4"/>
          <w:sz w:val="32"/>
          <w:szCs w:val="32"/>
        </w:rPr>
      </w:pPr>
    </w:p>
    <w:p w14:paraId="2D3EB75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42C59F74">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14:paraId="43332E3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落实《自治区人民政府办公厅关于发展众创空间推进大众创新创业的实施意见》（新政办发〔2015〕115号）、自治区科技厅《新疆维吾尔自治区农业科技园区管理办法》（新科规〔2020〕2号）等文件要求，下达和确定了2025年年初自治区创新环境（人才、基地）建设专项，分别设立天山创新团队、农业科技园区专项、高新技术产业开发区专项、双创基地建设专项、工程技术研究中心建设专项、重点实验室开放课题项目、资源共享平台建设专项、自然科学基金计划专项，进一步提升财政资金使用效益，充分发挥科研人员的积极性和创造性，不断增强科技对经济社会发展的支撑引领作用，为实施创新驱动发展战略提供有力保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自治区创新环境（人才、基地）建设专项计划，突出提升创新能力，主要支持重点实</w:t>
      </w:r>
      <w:bookmarkStart w:id="0" w:name="_GoBack"/>
      <w:bookmarkEnd w:id="0"/>
      <w:r>
        <w:rPr>
          <w:rStyle w:val="18"/>
          <w:rFonts w:hint="eastAsia" w:ascii="楷体" w:hAnsi="楷体" w:eastAsia="楷体"/>
          <w:spacing w:val="-4"/>
          <w:sz w:val="32"/>
          <w:szCs w:val="32"/>
        </w:rPr>
        <w:t>验室、工程技术研究中心（技术创新中心）、科技企业孵化器、众创空间、星创天地、资源共享平台等各类科技创新（服务）平台（基地）建设；支持高新技术产业开发区、农业科技园区建设；支持自治区自然科学研究和人才培育，促进科技创新人才和创新团队的引进、培养和使用，支持少数民族科技骨干人才从事基础研究、应用基础研究、试验发展、科技成果应用等科研工作，提高少数民族科技人才科研能力，建设全方位支撑高质量发展的人才梯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自然科学基金计划项目：主要支持方向为生命科学、医学科学、地球科学、数理科学、化学科学、工程与材料科学、信息科学、管理科学等自然科学及其交叉学科的基础研究和应用基础研究。2025年自治区自然科学基金新立项项目均按要求全部签订科技项目合同书，资金已全部拨付到位，并按照合同约定指标有序推进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天山创新团队计划项目：2025年自治区“天山创新团队计划”培养高层次人才团队44个，实施完成新理论、新技术、新产品、行业技术规范、标准、申报各类专利及软件著作权的绩效指标，同时为企业带来直接或间接经济效益2000余万元。通过该计划实施，为我区战略储备各类科技人才，搭建育才、用才、荐才的平台，促进科技人才成长和发展，激发科技人才创新创业活力，为实现新疆高质量发展提供人才支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双创”基地建设：根据《新疆维吾尔自治区“天山众创行动”专项资金管理暂行办法》的有关要求，本次拨款主要采用奖补方式，通过绩效评价，对运行良好的创服机构的运行费用给予一定补贴。截至12月31日，获得奖补资金的单位均在2025年10月31日前100%完成奖补经费的拨付工作，各单位均收到补助经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新疆维吾尔自治区工程技术研究中心：2025年获得绩效考核后奖励性后补助资金的工程技术研究中心共有18个，主要涉及制造业、轻工食品、农业、能源、新材料等领域的科研创新平台建设。自治区工程技术研究中心围绕共性和关键技术问题，开展科技研发和工程化配套，推动科技成果转化和技术转移；实行开放服务，共享拥有的大型科研设施、仪器设备，为区内外企业、机构等提供工程技术研究、设计、试验和成套技术等全方位服务；集聚和培养高水平工程技术研究人才；开展国际、国内科技合作与交流；开展科学普及等公益性活动。充分发挥其在工程技术研发、人才培养与引进、科技成果转化等方面的作用。获得奖补的18家工程技术研究中心2025年度依托单位累计实现营业收入1026.96亿元，科研投入55.01亿元，占比5.4%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重点实验室开放课题：自治区重点实验室开放课题围绕着我区支柱产业和优先发展领域，开展应用基础研究和高新技术、重大科技攻关，对我区重点实验室的正常运转、科研经费、研究设施对外共享以及科研人员之间的学术交流给予支持。2025年重点实验室开放课题项目申报指南明确提出支持与本领域国家实验室（基地）、全国重点实验室建立合作关系的自治区重点实验室，围绕实验室主要研究方向，聚焦自治区经济社会突出科技需求，开展基础及应用基础研究和前沿技术研究。2025年度重点实验室开放课题涉及环境、农业、医药-医学、化学等12个领域，共计29个项目，项目主要承担单位来自高校（51.42%）和科研院所（41.38%）。</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源共享平台建设计划：自治区科技创新基地建设计划—资源共享平台建设项目承担单位围绕我区深入实施创新驱动发展战略，利用现有的科研设备设施、科学数据、生物种质、实验材料等科技资源，支持了一批大型科学仪器设备、科技文献及数据、种植资源、公共卫生、社会发展、传染疫情防控等公益性、基础性科研条件平台的建设、维护、升级改造及共享服务,不断增强我区研究开发基础条件的同时为全社会的科学研究、技术创新和社会民生提供共享服务。2025年项目的实施持续加强了资源共享平台建设，加强了优质科技资源的有效集成，有效提升了科技资源使用效率，为科学研究、技术进步和社会发展提供了高效高质的资源共享服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自治区高新技术产业开发区建设：聚焦高新区高质量发展，优化主导产业布局、打造特色产业集群，强化关键核心技术攻关与科技成果转化，提升园区服务保障能力，培育创新主体、集聚优质人才，推动园区晋位升级与开放合作，助力打造区域科技创新策源地和产业发展主战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自治区农业科技园区建设：经国家或自治区批准建设的国家级农业科技园区和自治区级农业科技园区（通过验收），在科技厅科技计划管理服务平台上进行项目申报，内容为上一年度工作开展情况及取得的成效。根据上一年度工作绩效评价结果，对我区内农业科技园区实施分档以奖代补的方式资金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（1）资金投入情况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该项目年初预算数11100万元，全年预算数11100万元，资金来源为财政拨款，截至2025年12月31日项目资金已下拨11100万元，下拨完成率100%。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截至2025年12月31日，该项目全年执行数11100万元，预算执行率为100%，主要用于：自然科学基金计划支出、资源共享平台建设计划支出、天山创新团队计划支出、“双创”基地建设支出、科技创新基地建设计划支出、自治区农业科技园区建设支出、自治区高新技术产业开发区建设支出。</w:t>
      </w:r>
    </w:p>
    <w:p w14:paraId="61669415">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14:paraId="7921D49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投入科技计划项目资金11100万元，推动科技创新平台建设，引进培育一批科技人才，提升我区基础研究能力。结合我区经济和社会发展需求，组织实施自然科学基金项目，重点支持产业发展中的关键共性科学问题研究；支持优势研究领域，均衡学科发展；支持基础研究队伍建设，促进科技人才培养。支持一批人才创新团队围绕自治区经济社会发展重大需求，集中突破影响大、带动性强的关键共性技术、产品和重大工程（项目）。持续加强资源共享平台建设，加强优质科技资源有效集成，提升科技资源使用效率，为科学研究、技术进步和社会发展提供高效高质的资源共享服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阶段性目标围绕项目总体目标，按项目实施周期合理拆解，前期聚焦项目筹备与基础保障工作，完成方案细化、资源配置、前期调研等核心任务，确保项目具备实施条件；中期集中推进核心业务开展和工程建设等关键工作，稳步达成阶段性产出数量与质量要求；后期重点完成成果整合、资料归档、验收收尾等工作，同步开展效果自评与反馈收集，各阶段均严格把控进度节点、质量标准与预算执行，确保有序衔接、逐步落地总体目标。</w:t>
      </w:r>
    </w:p>
    <w:p w14:paraId="21CCA24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14:paraId="588493E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33B2CE7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1.绩效评价的目的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（1）评估项目实施效果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通过对项目预算执行情况及各项绩效目标达成程度的系统性分析，全面、客观地评估项目在预定周期内的实施效果，包括社会效益指标，为项目后续的改进与优化提供科学依据。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（2）提升资源利用效率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（3）强化项目管理责任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（4）为决策提供支持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项目主管部门、财政部门及相关决策层提供详实、准确的绩效评价信息，辅助其在项目审批、预算安排、政策调整等关键决策环节作出更加科学、合理的判断，促进项目资源的合理分配与有效整合，推动项目管理体系的不断完善与升级，提升公共资源配置的精准度与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（5）促进项目持续改进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2.绩效评价的对象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评价对象是2025年自治区创新环境（人才、基地）建设专项及其预算执行情况。该项目由新疆维吾尔自治区科学技术厅资源配置与管理处负责实施，旨在推动科技创新平台建设，引进培育一批科技人才，提升我区基础研究能力；支持优势研究领域，均衡学科发展；支持基础研究队伍建设，促进科技人才培养；加强资源共享平台建设，加强优质科技资源有效集成，提升科技资源使用效率，为科学研究、技术进步和社会发展提供高效高质的资源共享服务。项目预算涵盖从2025年1月1日至 2025年12月31日的全部资金投入与支出，涉及资金总额为11100万元。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3.绩效评价的范围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本项目预算绩效评价报告的评价范围广泛而全面，涵盖了从项目立项至评价时点期间的所有关键预算活动和财务流程。具体而言，评价范围包括但不限于以下几个方面：</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项目预算编制与执行：全面审视项目预算的编制依据、合理性、科学性以及实际执行情况，包括预算调整的原因和效果。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资金管理：深入分析项目资金的分配、使用和监管情况，确保资金使用的合规性、高效性和透明度。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项目实施进度与产出：评估项目是否按照既定计划顺利推进，各项任务是否按时完成，以及项目产出的数量、质量和时效性是否符合预期。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（4）社会影响：考察项目对社会方面的综合影响。</w:t>
      </w:r>
    </w:p>
    <w:p w14:paraId="073C5C10">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14:paraId="5D9BA61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本次项目绩效评价遵循以下基本原则：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绩效评价框架是开展绩效评价的核心。绩效评价框架包括评价准则、关键评价问题、评价指标、数据来源、数据收集方法等。指标体系建立过程如下：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（1）确定评价指标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（2）确定权重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确定各个指标相对于项目总体绩效的权重分值。在绩效评价指标体系中，项目决策权重为20分，项目过程权重为20分，项目产出权重为40分，项目效益权重为20分。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（3）确定指标标准值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指标标准值是绩效评价指标的尺度，既要反映同类项目的先进水平，又要符合项目的实际绩效水平。具体采用计划标准等确定此次绩效评价指标标准值。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绩效评价总分值100分，根据综合评分结果，90（含）-100分为优、80（含）-90分为良、60（含）-80分为中、60分以下为差。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具体评价指标体系详情见附件1。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绩效评价从项目决策、项目过程、项目产出、项目效益四个维度进行评价。评价对象为项目目标实施情况，评价核心为资金的支出完成情况和项目的产出效益。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本次评价指标中，既有定性指标又有定量指标，各类指标因考核内容不同和客观标准不同存在较大差异，因此核定具体指标时采用了不同方法，具体评价方法如下：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绩效评价标准通常包括计划标准、行业标准、历史标准等，用于对绩效指标完成情况进行比较、分析、评价。具体绩效评价标准解释如下：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11FC4016">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158689E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1.前期准备与规划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绩效评价工作启动之初，成立了专门的评价工作小组，小组成员由财务专家、项目管理专业人员及相关领域技术成员组成，确保从多角度、全方位对项目绩效进行评价。同时，明确了评价工作的目标、范围、重点及时间安排，制定了详细的工作计划，为评价工作的顺利开展奠定了坚实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2.指标体系构建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3.数据收集与整理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4.数据分析与评估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地改进建议提供了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5.报告撰写与反馈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6.后续跟踪与改进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4D148917">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14:paraId="66642F98">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围绕预设绩效目标稳步推进，整体实施成效良好。目标达成方面，核心任务均按计划落地。项目管理层面，通过规范的立项审批、科学的预算编制与严格的资金管控，保障了项目实施的合规性与高效性，管理制度健全且执行到位，未出现重大流程偏差或资金使用问题。产出成果上，项目产出数量满足计划要求，质量符合相关标准规范，产出时效与成本控制均达到预期目标，综合效益方面，项目在社会效益上发挥了积极作用，持续保障了从事基础研究科技人员开展创新研究的积极性，受扶持单位及科研人员的满意度较高，整体实现了项目预期的实施价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20分，得分率为100%。项目过程类指标权重为20分，得分为20分，得分率为100%。项目产出类指标权重为40分，得分为40分，得分率为100%。项目效益类指标权重为20分，得分为20分，得分率为100%。具体打分情况详见下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表1综合评分表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w:t>
      </w:r>
      <w:r>
        <w:rPr>
          <w:rStyle w:val="18"/>
          <w:rFonts w:hint="eastAsia" w:ascii="楷体" w:hAnsi="楷体" w:eastAsia="楷体"/>
          <w:spacing w:val="-4"/>
          <w:sz w:val="32"/>
          <w:szCs w:val="32"/>
        </w:rPr>
        <w:tab/>
        <w:t>权重分</w:t>
      </w:r>
      <w:r>
        <w:rPr>
          <w:rStyle w:val="18"/>
          <w:rFonts w:hint="eastAsia" w:ascii="楷体" w:hAnsi="楷体" w:eastAsia="楷体"/>
          <w:spacing w:val="-4"/>
          <w:sz w:val="32"/>
          <w:szCs w:val="32"/>
        </w:rPr>
        <w:tab/>
        <w:t>得分</w:t>
      </w:r>
      <w:r>
        <w:rPr>
          <w:rStyle w:val="18"/>
          <w:rFonts w:hint="eastAsia" w:ascii="楷体" w:hAnsi="楷体" w:eastAsia="楷体"/>
          <w:spacing w:val="-4"/>
          <w:sz w:val="32"/>
          <w:szCs w:val="32"/>
        </w:rPr>
        <w:tab/>
        <w:t xml:space="preserve">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项目决策</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 xml:space="preserve">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项目过程</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 xml:space="preserve">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项目产出</w:t>
      </w:r>
      <w:r>
        <w:rPr>
          <w:rStyle w:val="18"/>
          <w:rFonts w:hint="eastAsia" w:ascii="楷体" w:hAnsi="楷体" w:eastAsia="楷体"/>
          <w:spacing w:val="-4"/>
          <w:sz w:val="32"/>
          <w:szCs w:val="32"/>
        </w:rPr>
        <w:tab/>
        <w:t>40</w:t>
      </w:r>
      <w:r>
        <w:rPr>
          <w:rStyle w:val="18"/>
          <w:rFonts w:hint="eastAsia" w:ascii="楷体" w:hAnsi="楷体" w:eastAsia="楷体"/>
          <w:spacing w:val="-4"/>
          <w:sz w:val="32"/>
          <w:szCs w:val="32"/>
        </w:rPr>
        <w:tab/>
        <w:t>40</w:t>
      </w:r>
      <w:r>
        <w:rPr>
          <w:rStyle w:val="18"/>
          <w:rFonts w:hint="eastAsia" w:ascii="楷体" w:hAnsi="楷体" w:eastAsia="楷体"/>
          <w:spacing w:val="-4"/>
          <w:sz w:val="32"/>
          <w:szCs w:val="32"/>
        </w:rPr>
        <w:tab/>
        <w:t xml:space="preserve">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项目效益</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 xml:space="preserve">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 xml:space="preserve"> </w:t>
      </w:r>
    </w:p>
    <w:p w14:paraId="5CFCC64D">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14:paraId="6CA20D8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14:paraId="2BD47BE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项目决策类指标包括项目立项、绩效目标和资金投入三方面的内容，由6个三级指标构成，权重分值为20分，实际得分20分，得分率为100%。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自治区科技计划项目管理办法》《2025年自治区创新环境（人才、基地）建设专项申报指南》，围绕我区十大产业集群和新质生产力发展需求，在油气生产加工、煤炭清洁高效利用、新型电力系统、绿色矿业及加工、先进制造和新材料、粮食和食品加工、棉花和纺织服装、绿色畜牧产品和优质果蔬以及人工智能、生命健康、“双碳”等前沿领域，建立高素质科技创新人才队伍，带动人才成长，实现科技成果产出，对推动自治区科技创新能力建设具有重大意义。项目立项符合国家相关法律法规及发展政策，符合行业规划要求，根据《预算法》，项目属于公共财政支持范围，符合《国务院关于推进中央与地方财政事权和支出责任划分改革的指导意见》（国发〔2016〕49号）中关于“地方的财政事权由地方承担支出责任”的中央、地方事权支出责任划分原则。项目实施前已梳理部门内部及跨部门同类项目，明确本项目的差异化定位，无重复立项情况；部门发展规划、职能文件、政策依据等资料齐全并规范归档，完全满足评分标准中“立项符合政策、与部门职责匹配、无重复立项”的全部评价要点，故得满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申请、设立过程符合相关要求，严格按照审批流程准备符合要求的文件、材料；编制工作计划和经费预算，经过与部门项目分管领导沟通、筛选确定经费预算计划，最终通过部门集体决策会议审议确定立项，全程形成完整的审批文件、专家论证意见、会议纪要等资料，符合评分标准中“程序合规、材料齐全、经过论证与集体决策”的要求，故得满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结合科技研发与创新类实际，围绕项目总体目标“推动科技创新平台建设，引进培育一批科技人才，提升我区基础研究能力。结合我区经济和社会发展需求，组织实施自然科学基金项目，重点支持产业发展中的关键共性科学问题研究；支持优势研究领域，均衡学科发展；支持基础研究队伍建设，促进科技人才培养。支持一批人才创新团队围绕自治区经济社会发展重大需求，集中突破影响大、带动性强的关键共性技术、产品和重大工程（项目）。持续加强资源共享平台建设，加强优质科技资源有效集成，提升科技资源使用效率，为科学研究、技术进步和社会发展提供高效高质的资源共享服务。”设定绩效目标，具体明确了“引进培育一批科技人才，提升我区基础研究能力”的核心内容。目标设定依据充分，匹配了部门年度工作重点，未超出项目实施的技术、资源、时间约束。绩效目标与项目实际工作内容高度相关，如“培养和引进优秀青年科技人才”目标直接服务于“提升我区基础研究能力”的工作核心，且预算资金与目标投资额精准匹配。完全符合评分标准中“目标有依据、与实际相关、效益符合正常业绩水平、与预算匹配”的评价要点，故得满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将总体绩效目标细化分解为数量指标“支持科技计划项目数量&gt;=163个”“培养、引进高层次人才&gt;=77人”“培养和引进优秀青年科技人才&gt;=139人”等可量化、可衡量的三级指标，每个指标均明确了具体指标值，且指标值与项目目标任务数一一对应，如“引进培育一批科技人才，提升我区基础研究能力”对应数量指标“培养和引进优秀青年科技人才&gt;=139人”。指标设定清晰无歧义，既涵盖了产出指标，也覆盖了效益指标，满足评分标准中“指标细化分解、可衡量、与任务数对应”的要求，故得满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编制以“精准测算、按需配置”为原则，结合项目实施方案及具体任务清单开展，参考既往同类项目支出水平及当前物价水平，测算支出11100万元。预算编制过程经过业务科室、财务部门双重审核，无漏项、超项情况，预算内容与项目“支持优势研究领域，均衡学科发展的核心任务”“支持科技计划项目数量的产出目标”完全匹配，资金额度与各阶段工作任务量精准适配，符合评分标准中“经过科学论证、内容与项目匹配、额度依据充分、与工作任务匹配”的全部评价要点，故得满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本项目的资金分配遵循了公平、公正、透明的原则，确保了项目资源的合理配置与高效利用。在资金分配过程中，充分考虑了项目的实际需求与目标，对不同阶段、不同任务的资金进行了科学的规划与安排。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而言，资金分配紧密结合了项目的特点与实际情况，对关键领域与重要环节给予了重点支持。同时，也注重资金的均衡分配，避免了资源浪费与资金闲置。此外，资金分配还充分考虑了风险因素，对可能出现的超支情况进行了预留与调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故得满分。</w:t>
      </w:r>
    </w:p>
    <w:p w14:paraId="1E1F2E6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14:paraId="543EF964">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项目过程类指标包括资金管理和组织实施两方面的内容，由5个三级指标构成，权重分值为20分，实际得分20分，得分率为100%。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根据财政相关资金文件，本项目总投资11100万元，已分配至各个子项目，实际拨付到位资金11100万元，资金到位率100%，该指标满分为4分，根据评分标准得4分。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本项目全年预算11100万元，全年实际支出11100万元，预算执行率为100%，该指标满分为4分，根据评分标准得4分。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资金使用严格遵守《预算法》《新疆维吾尔自治区财政科研项目资金管理办法》《天山众创行动专项资金管理暂行办法》《行政单位财务规则》等法律法规及财务制度，全程规范可控：①资金拨付均履行“申请-审核-审批”流程，附完整的合同、发票、验收单等佐证资料，不存在无依据拨付情况；②严格执行专款专用，所有支出均与项目预算批复用途一致，无截留、挤占、挪用或虚列支出等违规行为；③财务核算规范，按项目单独建账、单独核算，支出科目分类准确，凭证齐全完整。项目实施期间未发生财务审计问题，完全符合评分标准中“符合财经法规、审批手续完备、用途合规、无违规行为”的全部要求，故得满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单位根据《新疆维吾尔自治区科技计划项目管理办法》《新疆维吾尔自治区工程技术研究中心管理办法（试行）》《新疆维吾尔自治区财政科研项目资金管理办法》《自治区“天山创新团队计划”实施办法（试行）》《新疆维吾尔自治区自然科学基金项目管理办法》《新疆维吾尔自治区农业科技园区管理办法》等一系列专项制度要求执行项目管理，制度体系覆盖项目策划、实施、监控、收尾全流程。业务管理制度明确了各部门职责分工。财务管理制度细化了资金拨付流程、报销标准、账务核算要求。所有制度均合法合规、内容完整，且与项目的实施特点高度适配，为项目顺利推进提供了坚实制度保障，符合评分标准中“有完善的财务和业务管理制度、制度合法合规完整”的要求，故得满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全过程严格执行各项管理制度，执行效果显著：①严格遵守法律法规及管理规定；②项目合同书、验收报告、财务凭证等资料齐全，均按要求及时归档；③人员、场地、设备等实施条件全部落实到位，满足项目实施需求。制度执行无偏差，有效保障了项目按计划推进，符合评分标准中“遵守相关规定、调整手续完备、资料齐全归档、实施条件落实”的要求，故得满分。</w:t>
      </w:r>
    </w:p>
    <w:p w14:paraId="1E2539F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14:paraId="21A1DD9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项目产出类指标包括产出数量方面的内容，指标体系由1个三级指标构成，权重分为40分，实际得分40分，得分率为100%。具体产出指标完成情况如下：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（1）实际完成率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数量指标1：支持科技计划项目数量（个），指标值：&gt;=163个，实际完成值：167个，指标完成率102.54%。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数量指标2：培养、引进高层次人才（人），指标值：&gt;=77人，实际完成值：79人，指标完成率102.60%。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数量指标3：培养和引进优秀青年科技人才（人），指标值：&gt;=139人，实际完成值：145人，指标完成率104.23%。</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数量指标4：申请国家专利/著作权数量（个），指标值：&gt;=50个，实际完成值：50个，指标完成率100%。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该指标满分为40分，根据评分标准得40分。</w:t>
      </w:r>
    </w:p>
    <w:p w14:paraId="3CDCA2A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14:paraId="48C752BA">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项目效益类指标包括项目实施效益和满意度两方面的内容，由2个三级指标构成，权重分为20分，实际得分20分，得分率为100%。具体效益指标及满意度指标完成情况如下：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社会效益指标：保障从事基础研究科技人员开展创新研究的积极性，指标值：持续保障，实际完成值：持续保障，指标完成率100%。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该指标满分为10分，根据评分标准得10分。</w:t>
      </w:r>
    </w:p>
    <w:p w14:paraId="3C313271">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（2）满意度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满意度指标1：受扶持单位的满意度，指标值：&gt;=90%，实际完成值：90%，指标完成率100%。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满意度指标2：受扶持单位科研人员的满意度，指标值：&gt;=90%，实际完成值：90%，指标完成率100%。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该指标满分为10分，根据评分标准得10分。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五、预算执行进度与绩效指标偏差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自治区创新环境（人才、基地）建设专项年初预算11100万元，全年预算11100万元，实际支出11100万元，预算执行率为100%，项目绩效指标总体完成率为101.34%，总体偏差率为1.34%，偏差原因：偏差5%以内视为基本无偏差。</w:t>
      </w:r>
    </w:p>
    <w:p w14:paraId="675FBE6A">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14:paraId="7F3B3794">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一是根据《自治区“天山创新团队计划”实施办法（试行）》《新疆维吾尔自治区科技计划项目管理办法实施细则（暂行）》，编制《2025年自治区创新环境（人才、基地）建设专项-天山创新团队计划项目申报指南》。在指南发布后，通过培训，做好指南解读，不仅提高了申报效率，还进一步扩大了政策宣讲的广度与深度。二是严格按照指南支持的领域选拔人才，根据专业技术领域分小组评审，选取本领域技术专家，评审过程以背靠背形式进行，采取“网络函评+专家会评”相结合的方式，坚持公开公平公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重点实验室开放课题立项前，组织财务专家和技术专家共同对申报项目进行论证，要求专家根据《新疆维吾尔自治区财政科研项目资金管理办法》相关规定，严格审核立项项目《经费预算书》。项目执行期内，组织在研项目承担单位和项目负责人在服务平台在线填报“自治区科技计划项目年度执行情况报告”，对项目的实施情况、指标完成情况、获得的科技成果情况、科技成果的知识产权保护情况、科技成果转移转化情况、科技成果收益及分配情况、经费支出情况、绩效目标完成情况等进行自我评价。项目完成后，科技厅对项目合同书（任务书）指标和绩效目标完成情况进行考核。对验收结论为不通过和项目承担单位科研诚信评价不良的项目，收回结余资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3.自治区自然科学基金项目持续鼓励基础研究多元化投入，2025年成功推进自治区自然科学基金南疆、地质、气象联合基金协议签订并发布2026年联合基金申报指南，进一步谋划布局行业联合基金。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本次绩效评价工作引入了双专家协同评价机制，以综合管理专家的评分作为基准参照系，有效校准了行业专家的评分尺度，能够提升跨领域评价的一致性与公正性。同时，通过设定三年为一个周期，每周期参评一次的规则，既确保了对绩效的连贯性追踪，又避免了重复评价带来的负担，以制度化的周期管理实现了评价工作的精简、高效与可持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自治区工程技术研究方面：一是技术创新成果参与收益分配的机制还不完善，科研开发的积极性和主动性还没有完全调动起来，效率较低。二是由于技术创新活动的投入大，有风险，且不直接产生经济效益，企业的创新意识以及敢挡风险的闯劲不足，还没有形成全社会、多渠道的依托科研平台的投入机制。三是引进人才、培养人才和留住人才难度较大，人才数量短缺和高层次人才不足问题并存，致使研发技术力量薄弱，很大程度上也抑制了科技创新能力提升和产业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天山创新团队计划方面：一是根据《自治区“天山创新团队计划”实施办法（试行）》《新疆维吾尔自治区科技计划项目管理办法实施细则（暂行）》，编制《2025年自治区创新环境（人才、基地）建设专项-天山创新团队计划项目申报指南》。在指南发布后，通过培训，做好指南解读，不仅提高了申报效率，还进一步扩大了政策宣讲的广度与深度。二是严格按照指南支持的领域选拔人才，根据专业技术领域分小组评审，选取本领域技术专家，评审过程以背靠背形式进行，采取“网络函评+专家会评”相结合的方式，坚持公开公平公正。</w:t>
      </w:r>
    </w:p>
    <w:p w14:paraId="521A4CE0">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14:paraId="043FA058">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一是深度研究自治区工程技术研究中心的体系布局，促进产业结构的调整、优化和升级，逐步实现产业结构由单一的资源主导型向多元化转变；二是建立科学的管理制度和灵活的运行机制，使技术创新与市场充分接轨，为专业技术人才提供良好的工作环境和学习环境，并制定多种激励措施，如加大科技成果奖励力度、技术参股等，充分调动技术创新的积极性和主动性；三是发挥产学研联合优势，提升工程技术中心的创新能力，发掘高校、科研院所的资源优势和企业的研发需求的结合点，引导建立开放、稳定的合作关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一是建议相关业务处室，就绩效管理的相关政策和制度开展有针对性的培训，将绩效管理和财务管理有机结合落实到位，强化项目承担单位责任，以提高专项资金使用的规范性。二是建议相关业务处室加强对绩效管理单位的业务指导，重点关注项目绩效目标设置的依据、可行性和合理性，对于如何将绩效目标设定的规范、科学、合理，以更加有效的做好绩效监控和评价。</w:t>
      </w:r>
    </w:p>
    <w:p w14:paraId="70134CD6">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14:paraId="30919154">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本次预算绩效评价所采集的数据受采集时间、数据来源等诸多因素的影响，可能会出现一定的偏差，进而对评价结果产生影响。</w:t>
      </w:r>
    </w:p>
    <w:p w14:paraId="01B1F6A0">
      <w:pPr>
        <w:spacing w:line="540" w:lineRule="exact"/>
        <w:ind w:firstLine="567"/>
        <w:rPr>
          <w:rStyle w:val="18"/>
          <w:rFonts w:ascii="仿宋" w:hAnsi="仿宋" w:eastAsia="仿宋"/>
          <w:b w:val="0"/>
          <w:spacing w:val="-4"/>
          <w:sz w:val="32"/>
          <w:szCs w:val="32"/>
        </w:rPr>
      </w:pPr>
    </w:p>
    <w:p w14:paraId="4B57FFAF">
      <w:pPr>
        <w:spacing w:line="540" w:lineRule="exact"/>
        <w:ind w:firstLine="567"/>
        <w:rPr>
          <w:rStyle w:val="18"/>
          <w:rFonts w:ascii="仿宋" w:hAnsi="仿宋" w:eastAsia="仿宋"/>
          <w:b w:val="0"/>
          <w:spacing w:val="-4"/>
          <w:sz w:val="32"/>
          <w:szCs w:val="32"/>
        </w:rPr>
      </w:pPr>
    </w:p>
    <w:p w14:paraId="45D4153D">
      <w:pPr>
        <w:spacing w:line="540" w:lineRule="exact"/>
        <w:ind w:firstLine="567"/>
        <w:rPr>
          <w:rStyle w:val="18"/>
          <w:rFonts w:ascii="仿宋" w:hAnsi="仿宋" w:eastAsia="仿宋"/>
          <w:b w:val="0"/>
          <w:spacing w:val="-4"/>
          <w:sz w:val="32"/>
          <w:szCs w:val="32"/>
        </w:rPr>
      </w:pPr>
    </w:p>
    <w:p w14:paraId="329B6BE8">
      <w:pPr>
        <w:spacing w:line="540" w:lineRule="exact"/>
        <w:ind w:firstLine="567"/>
        <w:rPr>
          <w:rStyle w:val="18"/>
          <w:rFonts w:ascii="仿宋" w:hAnsi="仿宋" w:eastAsia="仿宋"/>
          <w:b w:val="0"/>
          <w:spacing w:val="-4"/>
          <w:sz w:val="32"/>
          <w:szCs w:val="32"/>
        </w:rPr>
      </w:pPr>
    </w:p>
    <w:p w14:paraId="7B4D1426">
      <w:pPr>
        <w:spacing w:line="540" w:lineRule="exact"/>
        <w:ind w:firstLine="567"/>
        <w:rPr>
          <w:rStyle w:val="18"/>
          <w:rFonts w:ascii="仿宋" w:hAnsi="仿宋" w:eastAsia="仿宋"/>
          <w:b w:val="0"/>
          <w:spacing w:val="-4"/>
          <w:sz w:val="32"/>
          <w:szCs w:val="32"/>
        </w:rPr>
      </w:pPr>
    </w:p>
    <w:p w14:paraId="4C33FBF0">
      <w:pPr>
        <w:spacing w:line="540" w:lineRule="exact"/>
        <w:ind w:firstLine="567"/>
        <w:rPr>
          <w:rStyle w:val="18"/>
          <w:rFonts w:ascii="仿宋" w:hAnsi="仿宋" w:eastAsia="仿宋"/>
          <w:b w:val="0"/>
          <w:spacing w:val="-4"/>
          <w:sz w:val="32"/>
          <w:szCs w:val="32"/>
        </w:rPr>
      </w:pPr>
    </w:p>
    <w:p w14:paraId="4C0EF5A5">
      <w:pPr>
        <w:spacing w:line="540" w:lineRule="exact"/>
        <w:ind w:firstLine="567"/>
        <w:rPr>
          <w:rStyle w:val="18"/>
          <w:rFonts w:ascii="仿宋" w:hAnsi="仿宋" w:eastAsia="仿宋"/>
          <w:b w:val="0"/>
          <w:spacing w:val="-4"/>
          <w:sz w:val="32"/>
          <w:szCs w:val="32"/>
        </w:rPr>
      </w:pPr>
    </w:p>
    <w:p w14:paraId="2D855095">
      <w:pPr>
        <w:spacing w:line="540" w:lineRule="exact"/>
        <w:ind w:firstLine="567"/>
        <w:rPr>
          <w:rStyle w:val="18"/>
          <w:rFonts w:ascii="仿宋" w:hAnsi="仿宋" w:eastAsia="仿宋"/>
          <w:b w:val="0"/>
          <w:spacing w:val="-4"/>
          <w:sz w:val="32"/>
          <w:szCs w:val="32"/>
        </w:rPr>
      </w:pPr>
    </w:p>
    <w:p w14:paraId="2455E169">
      <w:pPr>
        <w:spacing w:line="540" w:lineRule="exact"/>
        <w:ind w:firstLine="567"/>
        <w:rPr>
          <w:rStyle w:val="18"/>
          <w:rFonts w:ascii="仿宋" w:hAnsi="仿宋" w:eastAsia="仿宋"/>
          <w:b w:val="0"/>
          <w:spacing w:val="-4"/>
          <w:sz w:val="32"/>
          <w:szCs w:val="32"/>
        </w:rPr>
      </w:pPr>
    </w:p>
    <w:p w14:paraId="7E55608C">
      <w:pPr>
        <w:spacing w:line="540" w:lineRule="exact"/>
        <w:ind w:firstLine="567"/>
        <w:rPr>
          <w:rStyle w:val="18"/>
          <w:rFonts w:ascii="仿宋" w:hAnsi="仿宋" w:eastAsia="仿宋"/>
          <w:b w:val="0"/>
          <w:spacing w:val="-4"/>
          <w:sz w:val="32"/>
          <w:szCs w:val="32"/>
        </w:rPr>
      </w:pPr>
    </w:p>
    <w:p w14:paraId="222FE5E2">
      <w:pPr>
        <w:spacing w:line="540" w:lineRule="exact"/>
        <w:ind w:firstLine="567"/>
        <w:rPr>
          <w:rStyle w:val="18"/>
          <w:rFonts w:ascii="仿宋" w:hAnsi="仿宋" w:eastAsia="仿宋"/>
          <w:b w:val="0"/>
          <w:spacing w:val="-4"/>
          <w:sz w:val="32"/>
          <w:szCs w:val="32"/>
        </w:rPr>
      </w:pPr>
    </w:p>
    <w:p w14:paraId="13C97CB8">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2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67D40661">
        <w:pPr>
          <w:pStyle w:val="12"/>
          <w:jc w:val="center"/>
        </w:pPr>
        <w:r>
          <w:fldChar w:fldCharType="begin"/>
        </w:r>
        <w:r>
          <w:instrText xml:space="preserve">PAGE   \* MERGEFORMAT</w:instrText>
        </w:r>
        <w:r>
          <w:fldChar w:fldCharType="separate"/>
        </w:r>
        <w:r>
          <w:rPr>
            <w:lang w:val="zh-CN"/>
          </w:rPr>
          <w:t>1</w:t>
        </w:r>
        <w:r>
          <w:fldChar w:fldCharType="end"/>
        </w:r>
      </w:p>
    </w:sdtContent>
  </w:sdt>
  <w:p w14:paraId="6F41152A">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 w:val="69EB4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12300</Words>
  <Characters>12698</Characters>
  <Lines>5</Lines>
  <Paragraphs>1</Paragraphs>
  <TotalTime>0</TotalTime>
  <ScaleCrop>false</ScaleCrop>
  <LinksUpToDate>false</LinksUpToDate>
  <CharactersWithSpaces>12747</CharactersWithSpaces>
  <Application>WPS Office_12.1.0.26885_F1E327BC-269C-435d-A152-05C5408002CA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雨。</cp:lastModifiedBy>
  <cp:lastPrinted>2018-12-31T10:56:00Z</cp:lastPrinted>
  <dcterms:modified xsi:type="dcterms:W3CDTF">2026-09-02T06:53:46Z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2052-12.1.0.26885</vt:lpwstr>
  </property>
  <property fmtid="{D5CDD505-2E9C-101B-9397-08002B2CF9AE}" pid="3" name="ICV">
    <vt:lpwstr>160D1BA1944349B08C48068401F6E698</vt:lpwstr>
  </property>
  <property fmtid="{D5CDD505-2E9C-101B-9397-08002B2CF9AE}" pid="4" name="KSOTemplateDocerSaveRecord">
    <vt:lpwstr>eyJoZGlkIjoiYjllZTFkNzZjMTJjZjZkZjhmYWQyZGNlNGE1MTg2N2QiLCJ1c2VySWQiOiIyNTk4NTcxMjUifQ==</vt:lpwstr>
  </property>
</Properties>
</file>