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napToGrid/>
        <w:spacing w:after="0" w:line="560" w:lineRule="exact"/>
        <w:textAlignment w:val="auto"/>
        <w:rPr>
          <w:rFonts w:ascii="宋体" w:eastAsia="宋体"/>
          <w:sz w:val="32"/>
          <w:szCs w:val="32"/>
        </w:rPr>
      </w:pPr>
    </w:p>
    <w:p>
      <w:pPr>
        <w:keepNext w:val="0"/>
        <w:keepLines w:val="0"/>
        <w:pageBreakBefore w:val="0"/>
        <w:widowControl/>
        <w:kinsoku/>
        <w:wordWrap/>
        <w:overflowPunct/>
        <w:topLinePunct w:val="0"/>
        <w:autoSpaceDE/>
        <w:autoSpaceDN/>
        <w:bidi w:val="0"/>
        <w:adjustRightInd/>
        <w:snapToGrid/>
        <w:spacing w:after="0" w:line="560" w:lineRule="exact"/>
        <w:textAlignment w:val="auto"/>
        <w:rPr>
          <w:rFonts w:ascii="宋体" w:eastAsia="宋体"/>
          <w:sz w:val="44"/>
          <w:szCs w:val="44"/>
        </w:rPr>
      </w:pPr>
    </w:p>
    <w:p>
      <w:pPr>
        <w:keepNext w:val="0"/>
        <w:keepLines w:val="0"/>
        <w:pageBreakBefore w:val="0"/>
        <w:widowControl/>
        <w:kinsoku/>
        <w:wordWrap/>
        <w:overflowPunct/>
        <w:topLinePunct w:val="0"/>
        <w:autoSpaceDE/>
        <w:autoSpaceDN/>
        <w:bidi w:val="0"/>
        <w:adjustRightInd/>
        <w:snapToGrid/>
        <w:spacing w:after="0" w:line="560" w:lineRule="exact"/>
        <w:textAlignment w:val="auto"/>
        <w:rPr>
          <w:rFonts w:ascii="宋体" w:eastAsia="宋体"/>
          <w:sz w:val="44"/>
          <w:szCs w:val="44"/>
        </w:rPr>
      </w:pPr>
    </w:p>
    <w:p>
      <w:pPr>
        <w:keepNext w:val="0"/>
        <w:keepLines w:val="0"/>
        <w:pageBreakBefore w:val="0"/>
        <w:widowControl/>
        <w:kinsoku/>
        <w:wordWrap/>
        <w:overflowPunct/>
        <w:topLinePunct w:val="0"/>
        <w:autoSpaceDE/>
        <w:autoSpaceDN/>
        <w:bidi w:val="0"/>
        <w:adjustRightInd/>
        <w:snapToGrid/>
        <w:spacing w:after="0" w:line="560" w:lineRule="exact"/>
        <w:textAlignment w:val="auto"/>
        <w:rPr>
          <w:rFonts w:ascii="宋体" w:eastAsia="宋体"/>
          <w:sz w:val="44"/>
          <w:szCs w:val="44"/>
        </w:rPr>
      </w:pPr>
    </w:p>
    <w:p>
      <w:pPr>
        <w:keepNext w:val="0"/>
        <w:keepLines w:val="0"/>
        <w:pageBreakBefore w:val="0"/>
        <w:widowControl/>
        <w:kinsoku/>
        <w:wordWrap/>
        <w:overflowPunct/>
        <w:topLinePunct w:val="0"/>
        <w:autoSpaceDE/>
        <w:autoSpaceDN/>
        <w:bidi w:val="0"/>
        <w:adjustRightInd/>
        <w:snapToGrid/>
        <w:spacing w:after="0" w:line="560" w:lineRule="exact"/>
        <w:jc w:val="center"/>
        <w:textAlignment w:val="auto"/>
        <w:outlineLvl w:val="0"/>
        <w:rPr>
          <w:rFonts w:ascii="宋体" w:eastAsia="黑体"/>
          <w:sz w:val="44"/>
          <w:szCs w:val="44"/>
        </w:rPr>
      </w:pPr>
      <w:r>
        <w:rPr>
          <w:rFonts w:ascii="宋体" w:eastAsia="黑体"/>
          <w:sz w:val="44"/>
          <w:szCs w:val="44"/>
        </w:rPr>
        <w:t>新疆维吾尔自治区广播电视研究所</w:t>
      </w:r>
    </w:p>
    <w:p>
      <w:pPr>
        <w:keepNext w:val="0"/>
        <w:keepLines w:val="0"/>
        <w:pageBreakBefore w:val="0"/>
        <w:widowControl/>
        <w:kinsoku/>
        <w:wordWrap/>
        <w:overflowPunct/>
        <w:topLinePunct w:val="0"/>
        <w:autoSpaceDE/>
        <w:autoSpaceDN/>
        <w:bidi w:val="0"/>
        <w:adjustRightInd/>
        <w:snapToGrid/>
        <w:spacing w:after="0" w:line="560" w:lineRule="exact"/>
        <w:jc w:val="center"/>
        <w:textAlignment w:val="auto"/>
        <w:outlineLvl w:val="0"/>
        <w:rPr>
          <w:rFonts w:ascii="黑体" w:eastAsia="黑体"/>
          <w:sz w:val="44"/>
          <w:szCs w:val="44"/>
        </w:rPr>
      </w:pPr>
      <w:r>
        <w:rPr>
          <w:rFonts w:ascii="黑体" w:eastAsia="黑体"/>
          <w:sz w:val="44"/>
          <w:szCs w:val="44"/>
        </w:rPr>
        <w:t>2024年度部门决算公开说明</w:t>
      </w:r>
    </w:p>
    <w:p>
      <w:pPr>
        <w:keepNext w:val="0"/>
        <w:keepLines w:val="0"/>
        <w:pageBreakBefore w:val="0"/>
        <w:widowControl/>
        <w:kinsoku/>
        <w:wordWrap/>
        <w:overflowPunct/>
        <w:topLinePunct w:val="0"/>
        <w:autoSpaceDE/>
        <w:autoSpaceDN/>
        <w:bidi w:val="0"/>
        <w:adjustRightInd/>
        <w:snapToGrid/>
        <w:spacing w:line="560" w:lineRule="exact"/>
        <w:textAlignment w:val="auto"/>
      </w:pPr>
      <w:r>
        <w:rPr>
          <w:sz w:val="0"/>
          <w:szCs w:val="0"/>
        </w:rPr>
        <w:br w:type="page"/>
      </w:r>
    </w:p>
    <w:p>
      <w:pPr>
        <w:keepNext w:val="0"/>
        <w:keepLines w:val="0"/>
        <w:pageBreakBefore w:val="0"/>
        <w:widowControl/>
        <w:kinsoku/>
        <w:wordWrap/>
        <w:overflowPunct/>
        <w:topLinePunct w:val="0"/>
        <w:autoSpaceDE/>
        <w:autoSpaceDN/>
        <w:bidi w:val="0"/>
        <w:adjustRightInd/>
        <w:snapToGrid/>
        <w:spacing w:after="0" w:line="560" w:lineRule="exact"/>
        <w:jc w:val="center"/>
        <w:textAlignment w:val="auto"/>
        <w:rPr>
          <w:rFonts w:ascii="黑体" w:eastAsia="黑体"/>
          <w:sz w:val="32"/>
          <w:szCs w:val="32"/>
        </w:rPr>
      </w:pPr>
      <w:r>
        <w:rPr>
          <w:rFonts w:ascii="黑体" w:eastAsia="黑体"/>
          <w:b/>
          <w:sz w:val="32"/>
          <w:szCs w:val="32"/>
        </w:rPr>
        <w:t>目  录</w:t>
      </w:r>
    </w:p>
    <w:p>
      <w:pPr>
        <w:keepNext w:val="0"/>
        <w:keepLines w:val="0"/>
        <w:pageBreakBefore w:val="0"/>
        <w:widowControl/>
        <w:kinsoku/>
        <w:wordWrap/>
        <w:overflowPunct/>
        <w:topLinePunct w:val="0"/>
        <w:autoSpaceDE/>
        <w:autoSpaceDN/>
        <w:bidi w:val="0"/>
        <w:adjustRightInd/>
        <w:snapToGrid/>
        <w:spacing w:after="0" w:line="560" w:lineRule="exact"/>
        <w:textAlignment w:val="auto"/>
        <w:rPr>
          <w:rFonts w:ascii="仿宋_GB2312" w:eastAsia="仿宋_GB2312"/>
          <w:sz w:val="32"/>
          <w:szCs w:val="32"/>
        </w:rPr>
      </w:pPr>
      <w:r>
        <w:rPr>
          <w:rFonts w:ascii="仿宋_GB2312" w:eastAsia="仿宋_GB2312"/>
          <w:b/>
          <w:sz w:val="32"/>
          <w:szCs w:val="32"/>
        </w:rPr>
        <w:t>第一部分</w:t>
      </w:r>
      <w:r>
        <w:rPr>
          <w:rFonts w:hint="default" w:ascii="仿宋_GB2312" w:eastAsia="仿宋_GB2312"/>
          <w:b/>
          <w:sz w:val="32"/>
          <w:szCs w:val="32"/>
          <w:lang w:val="en-US"/>
        </w:rPr>
        <w:t xml:space="preserve"> </w:t>
      </w:r>
      <w:r>
        <w:rPr>
          <w:rFonts w:ascii="仿宋_GB2312" w:eastAsia="仿宋_GB2312"/>
          <w:b/>
          <w:sz w:val="32"/>
          <w:szCs w:val="32"/>
        </w:rPr>
        <w:t>单位概况</w:t>
      </w:r>
    </w:p>
    <w:p>
      <w:pPr>
        <w:keepNext w:val="0"/>
        <w:keepLines w:val="0"/>
        <w:pageBreakBefore w:val="0"/>
        <w:widowControl/>
        <w:kinsoku/>
        <w:wordWrap/>
        <w:overflowPunct/>
        <w:topLinePunct w:val="0"/>
        <w:autoSpaceDE/>
        <w:autoSpaceDN/>
        <w:bidi w:val="0"/>
        <w:adjustRightInd/>
        <w:snapToGrid/>
        <w:spacing w:after="0" w:line="560" w:lineRule="exact"/>
        <w:textAlignment w:val="auto"/>
        <w:rPr>
          <w:rFonts w:ascii="仿宋_GB2312" w:eastAsia="仿宋_GB2312"/>
          <w:sz w:val="32"/>
          <w:szCs w:val="32"/>
        </w:rPr>
      </w:pPr>
      <w:r>
        <w:rPr>
          <w:rFonts w:ascii="仿宋_GB2312" w:eastAsia="仿宋_GB2312"/>
          <w:sz w:val="32"/>
          <w:szCs w:val="32"/>
        </w:rPr>
        <w:t>一、主要职能</w:t>
      </w:r>
    </w:p>
    <w:p>
      <w:pPr>
        <w:keepNext w:val="0"/>
        <w:keepLines w:val="0"/>
        <w:pageBreakBefore w:val="0"/>
        <w:widowControl/>
        <w:kinsoku/>
        <w:wordWrap/>
        <w:overflowPunct/>
        <w:topLinePunct w:val="0"/>
        <w:autoSpaceDE/>
        <w:autoSpaceDN/>
        <w:bidi w:val="0"/>
        <w:adjustRightInd/>
        <w:snapToGrid/>
        <w:spacing w:after="0" w:line="560" w:lineRule="exact"/>
        <w:textAlignment w:val="auto"/>
        <w:rPr>
          <w:rFonts w:ascii="仿宋_GB2312" w:eastAsia="仿宋_GB2312"/>
          <w:sz w:val="32"/>
          <w:szCs w:val="32"/>
        </w:rPr>
      </w:pPr>
      <w:r>
        <w:rPr>
          <w:rFonts w:ascii="仿宋_GB2312" w:eastAsia="仿宋_GB2312"/>
          <w:sz w:val="32"/>
          <w:szCs w:val="32"/>
        </w:rPr>
        <w:t>二、机构设置及人员情况</w:t>
      </w:r>
    </w:p>
    <w:p>
      <w:pPr>
        <w:keepNext w:val="0"/>
        <w:keepLines w:val="0"/>
        <w:pageBreakBefore w:val="0"/>
        <w:widowControl/>
        <w:kinsoku/>
        <w:wordWrap/>
        <w:overflowPunct/>
        <w:topLinePunct w:val="0"/>
        <w:autoSpaceDE/>
        <w:autoSpaceDN/>
        <w:bidi w:val="0"/>
        <w:adjustRightInd/>
        <w:snapToGrid/>
        <w:spacing w:after="0" w:line="560" w:lineRule="exact"/>
        <w:textAlignment w:val="auto"/>
        <w:rPr>
          <w:rFonts w:ascii="仿宋_GB2312" w:eastAsia="仿宋_GB2312"/>
          <w:sz w:val="32"/>
          <w:szCs w:val="32"/>
        </w:rPr>
      </w:pPr>
      <w:r>
        <w:rPr>
          <w:rFonts w:ascii="仿宋_GB2312" w:eastAsia="仿宋_GB2312"/>
          <w:b/>
          <w:sz w:val="32"/>
          <w:szCs w:val="32"/>
        </w:rPr>
        <w:t>第二部分 部门决算情况说明</w:t>
      </w:r>
    </w:p>
    <w:p>
      <w:pPr>
        <w:keepNext w:val="0"/>
        <w:keepLines w:val="0"/>
        <w:pageBreakBefore w:val="0"/>
        <w:widowControl/>
        <w:kinsoku/>
        <w:wordWrap/>
        <w:overflowPunct/>
        <w:topLinePunct w:val="0"/>
        <w:autoSpaceDE/>
        <w:autoSpaceDN/>
        <w:bidi w:val="0"/>
        <w:adjustRightInd/>
        <w:snapToGrid/>
        <w:spacing w:after="0" w:line="560" w:lineRule="exact"/>
        <w:textAlignment w:val="auto"/>
        <w:rPr>
          <w:rFonts w:ascii="仿宋_GB2312" w:eastAsia="仿宋_GB2312"/>
          <w:sz w:val="32"/>
          <w:szCs w:val="32"/>
        </w:rPr>
      </w:pPr>
      <w:r>
        <w:rPr>
          <w:rFonts w:ascii="仿宋_GB2312" w:eastAsia="仿宋_GB2312"/>
          <w:sz w:val="32"/>
          <w:szCs w:val="32"/>
        </w:rPr>
        <w:t>一、收入支出决算总体情况说明</w:t>
      </w:r>
    </w:p>
    <w:p>
      <w:pPr>
        <w:keepNext w:val="0"/>
        <w:keepLines w:val="0"/>
        <w:pageBreakBefore w:val="0"/>
        <w:widowControl/>
        <w:kinsoku/>
        <w:wordWrap/>
        <w:overflowPunct/>
        <w:topLinePunct w:val="0"/>
        <w:autoSpaceDE/>
        <w:autoSpaceDN/>
        <w:bidi w:val="0"/>
        <w:adjustRightInd/>
        <w:snapToGrid/>
        <w:spacing w:after="0" w:line="560" w:lineRule="exact"/>
        <w:textAlignment w:val="auto"/>
        <w:rPr>
          <w:rFonts w:ascii="仿宋_GB2312" w:eastAsia="仿宋_GB2312"/>
          <w:sz w:val="32"/>
          <w:szCs w:val="32"/>
        </w:rPr>
      </w:pPr>
      <w:r>
        <w:rPr>
          <w:rFonts w:ascii="仿宋_GB2312" w:eastAsia="仿宋_GB2312"/>
          <w:sz w:val="32"/>
          <w:szCs w:val="32"/>
        </w:rPr>
        <w:t>二、收入决算情况说明</w:t>
      </w:r>
    </w:p>
    <w:p>
      <w:pPr>
        <w:keepNext w:val="0"/>
        <w:keepLines w:val="0"/>
        <w:pageBreakBefore w:val="0"/>
        <w:widowControl/>
        <w:kinsoku/>
        <w:wordWrap/>
        <w:overflowPunct/>
        <w:topLinePunct w:val="0"/>
        <w:autoSpaceDE/>
        <w:autoSpaceDN/>
        <w:bidi w:val="0"/>
        <w:adjustRightInd/>
        <w:snapToGrid/>
        <w:spacing w:after="0" w:line="560" w:lineRule="exact"/>
        <w:textAlignment w:val="auto"/>
        <w:rPr>
          <w:rFonts w:ascii="仿宋_GB2312" w:eastAsia="仿宋_GB2312"/>
          <w:sz w:val="32"/>
          <w:szCs w:val="32"/>
        </w:rPr>
      </w:pPr>
      <w:r>
        <w:rPr>
          <w:rFonts w:ascii="仿宋_GB2312" w:eastAsia="仿宋_GB2312"/>
          <w:sz w:val="32"/>
          <w:szCs w:val="32"/>
        </w:rPr>
        <w:t>三、支出决算情况说明</w:t>
      </w:r>
    </w:p>
    <w:p>
      <w:pPr>
        <w:keepNext w:val="0"/>
        <w:keepLines w:val="0"/>
        <w:pageBreakBefore w:val="0"/>
        <w:widowControl/>
        <w:kinsoku/>
        <w:wordWrap/>
        <w:overflowPunct/>
        <w:topLinePunct w:val="0"/>
        <w:autoSpaceDE/>
        <w:autoSpaceDN/>
        <w:bidi w:val="0"/>
        <w:adjustRightInd/>
        <w:snapToGrid/>
        <w:spacing w:after="0" w:line="560" w:lineRule="exact"/>
        <w:textAlignment w:val="auto"/>
        <w:rPr>
          <w:rFonts w:ascii="仿宋_GB2312" w:eastAsia="仿宋_GB2312"/>
          <w:sz w:val="32"/>
          <w:szCs w:val="32"/>
        </w:rPr>
      </w:pPr>
      <w:r>
        <w:rPr>
          <w:rFonts w:ascii="仿宋_GB2312" w:eastAsia="仿宋_GB2312"/>
          <w:sz w:val="32"/>
          <w:szCs w:val="32"/>
        </w:rPr>
        <w:t>四、财政拨款收入支出决算总体情况说明</w:t>
      </w:r>
    </w:p>
    <w:p>
      <w:pPr>
        <w:keepNext w:val="0"/>
        <w:keepLines w:val="0"/>
        <w:pageBreakBefore w:val="0"/>
        <w:widowControl/>
        <w:kinsoku/>
        <w:wordWrap/>
        <w:overflowPunct/>
        <w:topLinePunct w:val="0"/>
        <w:autoSpaceDE/>
        <w:autoSpaceDN/>
        <w:bidi w:val="0"/>
        <w:adjustRightInd/>
        <w:snapToGrid/>
        <w:spacing w:after="0" w:line="560" w:lineRule="exact"/>
        <w:textAlignment w:val="auto"/>
        <w:rPr>
          <w:rFonts w:ascii="仿宋_GB2312" w:eastAsia="仿宋_GB2312"/>
          <w:sz w:val="32"/>
          <w:szCs w:val="32"/>
        </w:rPr>
      </w:pPr>
      <w:r>
        <w:rPr>
          <w:rFonts w:ascii="仿宋_GB2312" w:eastAsia="仿宋_GB2312"/>
          <w:sz w:val="32"/>
          <w:szCs w:val="32"/>
        </w:rPr>
        <w:t>五、一般公共预算财政拨款支出决算情况说明</w:t>
      </w:r>
    </w:p>
    <w:p>
      <w:pPr>
        <w:keepNext w:val="0"/>
        <w:keepLines w:val="0"/>
        <w:pageBreakBefore w:val="0"/>
        <w:widowControl/>
        <w:kinsoku/>
        <w:wordWrap/>
        <w:overflowPunct/>
        <w:topLinePunct w:val="0"/>
        <w:autoSpaceDE/>
        <w:autoSpaceDN/>
        <w:bidi w:val="0"/>
        <w:adjustRightInd/>
        <w:snapToGrid/>
        <w:spacing w:after="0" w:line="560" w:lineRule="exact"/>
        <w:textAlignment w:val="auto"/>
        <w:rPr>
          <w:rFonts w:ascii="仿宋_GB2312" w:eastAsia="仿宋_GB2312"/>
          <w:sz w:val="32"/>
          <w:szCs w:val="32"/>
        </w:rPr>
      </w:pPr>
      <w:r>
        <w:rPr>
          <w:rFonts w:ascii="仿宋_GB2312" w:eastAsia="仿宋_GB2312"/>
          <w:sz w:val="32"/>
          <w:szCs w:val="32"/>
        </w:rPr>
        <w:t>（一）一般公共预算财政拨款支出决算总体情况</w:t>
      </w:r>
    </w:p>
    <w:p>
      <w:pPr>
        <w:keepNext w:val="0"/>
        <w:keepLines w:val="0"/>
        <w:pageBreakBefore w:val="0"/>
        <w:widowControl/>
        <w:kinsoku/>
        <w:wordWrap/>
        <w:overflowPunct/>
        <w:topLinePunct w:val="0"/>
        <w:autoSpaceDE/>
        <w:autoSpaceDN/>
        <w:bidi w:val="0"/>
        <w:adjustRightInd/>
        <w:snapToGrid/>
        <w:spacing w:after="0" w:line="560" w:lineRule="exact"/>
        <w:textAlignment w:val="auto"/>
        <w:rPr>
          <w:rFonts w:ascii="仿宋_GB2312" w:eastAsia="仿宋_GB2312"/>
          <w:sz w:val="32"/>
          <w:szCs w:val="32"/>
        </w:rPr>
      </w:pPr>
      <w:r>
        <w:rPr>
          <w:rFonts w:ascii="仿宋_GB2312" w:eastAsia="仿宋_GB2312"/>
          <w:sz w:val="32"/>
          <w:szCs w:val="32"/>
        </w:rPr>
        <w:t>（二）一般公共预算财政拨款支出决算结构情况</w:t>
      </w:r>
    </w:p>
    <w:p>
      <w:pPr>
        <w:keepNext w:val="0"/>
        <w:keepLines w:val="0"/>
        <w:pageBreakBefore w:val="0"/>
        <w:widowControl/>
        <w:kinsoku/>
        <w:wordWrap/>
        <w:overflowPunct/>
        <w:topLinePunct w:val="0"/>
        <w:autoSpaceDE/>
        <w:autoSpaceDN/>
        <w:bidi w:val="0"/>
        <w:adjustRightInd/>
        <w:snapToGrid/>
        <w:spacing w:after="0" w:line="560" w:lineRule="exact"/>
        <w:textAlignment w:val="auto"/>
        <w:rPr>
          <w:rFonts w:ascii="仿宋_GB2312" w:eastAsia="仿宋_GB2312"/>
          <w:sz w:val="32"/>
          <w:szCs w:val="32"/>
        </w:rPr>
      </w:pPr>
      <w:r>
        <w:rPr>
          <w:rFonts w:ascii="仿宋_GB2312" w:eastAsia="仿宋_GB2312"/>
          <w:sz w:val="32"/>
          <w:szCs w:val="32"/>
        </w:rPr>
        <w:t>（三）一般公共预算财政拨款支出决算具体情况</w:t>
      </w:r>
    </w:p>
    <w:p>
      <w:pPr>
        <w:keepNext w:val="0"/>
        <w:keepLines w:val="0"/>
        <w:pageBreakBefore w:val="0"/>
        <w:widowControl/>
        <w:kinsoku/>
        <w:wordWrap/>
        <w:overflowPunct/>
        <w:topLinePunct w:val="0"/>
        <w:autoSpaceDE/>
        <w:autoSpaceDN/>
        <w:bidi w:val="0"/>
        <w:adjustRightInd/>
        <w:snapToGrid/>
        <w:spacing w:after="0" w:line="560" w:lineRule="exact"/>
        <w:textAlignment w:val="auto"/>
        <w:rPr>
          <w:rFonts w:ascii="仿宋_GB2312" w:eastAsia="仿宋_GB2312"/>
          <w:sz w:val="32"/>
          <w:szCs w:val="32"/>
        </w:rPr>
      </w:pPr>
      <w:r>
        <w:rPr>
          <w:rFonts w:ascii="仿宋_GB2312" w:eastAsia="仿宋_GB2312"/>
          <w:sz w:val="32"/>
          <w:szCs w:val="32"/>
        </w:rPr>
        <w:t>​六、一般公共预算财政拨款基本支出决算情况说明</w:t>
      </w:r>
    </w:p>
    <w:p>
      <w:pPr>
        <w:keepNext w:val="0"/>
        <w:keepLines w:val="0"/>
        <w:pageBreakBefore w:val="0"/>
        <w:widowControl/>
        <w:kinsoku/>
        <w:wordWrap/>
        <w:overflowPunct/>
        <w:topLinePunct w:val="0"/>
        <w:autoSpaceDE/>
        <w:autoSpaceDN/>
        <w:bidi w:val="0"/>
        <w:adjustRightInd/>
        <w:snapToGrid/>
        <w:spacing w:after="0" w:line="560" w:lineRule="exact"/>
        <w:textAlignment w:val="auto"/>
        <w:rPr>
          <w:rFonts w:ascii="仿宋_GB2312" w:eastAsia="仿宋_GB2312"/>
          <w:sz w:val="32"/>
          <w:szCs w:val="32"/>
        </w:rPr>
      </w:pPr>
      <w:r>
        <w:rPr>
          <w:rFonts w:ascii="仿宋_GB2312" w:eastAsia="仿宋_GB2312"/>
          <w:sz w:val="32"/>
          <w:szCs w:val="32"/>
        </w:rPr>
        <w:t>七、政府性基金预算财政拨款收入支出决算情况说明</w:t>
      </w:r>
    </w:p>
    <w:p>
      <w:pPr>
        <w:keepNext w:val="0"/>
        <w:keepLines w:val="0"/>
        <w:pageBreakBefore w:val="0"/>
        <w:widowControl/>
        <w:kinsoku/>
        <w:wordWrap/>
        <w:overflowPunct/>
        <w:topLinePunct w:val="0"/>
        <w:autoSpaceDE/>
        <w:autoSpaceDN/>
        <w:bidi w:val="0"/>
        <w:adjustRightInd/>
        <w:snapToGrid/>
        <w:spacing w:after="0" w:line="560" w:lineRule="exact"/>
        <w:textAlignment w:val="auto"/>
        <w:rPr>
          <w:rFonts w:ascii="仿宋_GB2312" w:eastAsia="仿宋_GB2312"/>
          <w:sz w:val="32"/>
          <w:szCs w:val="32"/>
        </w:rPr>
      </w:pPr>
      <w:r>
        <w:rPr>
          <w:rFonts w:ascii="仿宋_GB2312" w:eastAsia="仿宋_GB2312"/>
          <w:sz w:val="32"/>
          <w:szCs w:val="32"/>
        </w:rPr>
        <w:t>八、国有资本经营预算财政拨款收入支出决算情况说明</w:t>
      </w:r>
    </w:p>
    <w:p>
      <w:pPr>
        <w:keepNext w:val="0"/>
        <w:keepLines w:val="0"/>
        <w:pageBreakBefore w:val="0"/>
        <w:widowControl/>
        <w:kinsoku/>
        <w:wordWrap/>
        <w:overflowPunct/>
        <w:topLinePunct w:val="0"/>
        <w:autoSpaceDE/>
        <w:autoSpaceDN/>
        <w:bidi w:val="0"/>
        <w:adjustRightInd/>
        <w:snapToGrid/>
        <w:spacing w:after="0" w:line="560" w:lineRule="exact"/>
        <w:textAlignment w:val="auto"/>
        <w:rPr>
          <w:rFonts w:ascii="仿宋_GB2312" w:eastAsia="仿宋_GB2312"/>
          <w:sz w:val="32"/>
          <w:szCs w:val="32"/>
        </w:rPr>
      </w:pPr>
      <w:r>
        <w:rPr>
          <w:rFonts w:ascii="仿宋_GB2312" w:eastAsia="仿宋_GB2312"/>
          <w:sz w:val="32"/>
          <w:szCs w:val="32"/>
        </w:rPr>
        <w:t>九、财政拨款“三公”经费支出决算情况说明</w:t>
      </w:r>
    </w:p>
    <w:p>
      <w:pPr>
        <w:keepNext w:val="0"/>
        <w:keepLines w:val="0"/>
        <w:pageBreakBefore w:val="0"/>
        <w:widowControl/>
        <w:kinsoku/>
        <w:wordWrap/>
        <w:overflowPunct/>
        <w:topLinePunct w:val="0"/>
        <w:autoSpaceDE/>
        <w:autoSpaceDN/>
        <w:bidi w:val="0"/>
        <w:adjustRightInd/>
        <w:snapToGrid/>
        <w:spacing w:after="0" w:line="560" w:lineRule="exact"/>
        <w:textAlignment w:val="auto"/>
        <w:rPr>
          <w:rFonts w:ascii="仿宋_GB2312" w:eastAsia="仿宋_GB2312"/>
          <w:sz w:val="32"/>
          <w:szCs w:val="32"/>
        </w:rPr>
      </w:pPr>
      <w:r>
        <w:rPr>
          <w:rFonts w:ascii="仿宋_GB2312" w:eastAsia="仿宋_GB2312"/>
          <w:sz w:val="32"/>
          <w:szCs w:val="32"/>
        </w:rPr>
        <w:t>​十、其他重要事项的情况说明</w:t>
      </w:r>
    </w:p>
    <w:p>
      <w:pPr>
        <w:keepNext w:val="0"/>
        <w:keepLines w:val="0"/>
        <w:pageBreakBefore w:val="0"/>
        <w:widowControl/>
        <w:kinsoku/>
        <w:wordWrap/>
        <w:overflowPunct/>
        <w:topLinePunct w:val="0"/>
        <w:autoSpaceDE/>
        <w:autoSpaceDN/>
        <w:bidi w:val="0"/>
        <w:adjustRightInd/>
        <w:snapToGrid/>
        <w:spacing w:after="0" w:line="560" w:lineRule="exact"/>
        <w:textAlignment w:val="auto"/>
        <w:rPr>
          <w:rFonts w:ascii="仿宋_GB2312" w:eastAsia="仿宋_GB2312"/>
          <w:sz w:val="32"/>
          <w:szCs w:val="32"/>
        </w:rPr>
      </w:pPr>
      <w:r>
        <w:rPr>
          <w:rFonts w:ascii="仿宋_GB2312" w:eastAsia="仿宋_GB2312"/>
          <w:sz w:val="32"/>
          <w:szCs w:val="32"/>
        </w:rPr>
        <w:t>（一）机关运行经费及公用经费支出情况</w:t>
      </w:r>
    </w:p>
    <w:p>
      <w:pPr>
        <w:keepNext w:val="0"/>
        <w:keepLines w:val="0"/>
        <w:pageBreakBefore w:val="0"/>
        <w:widowControl/>
        <w:kinsoku/>
        <w:wordWrap/>
        <w:overflowPunct/>
        <w:topLinePunct w:val="0"/>
        <w:autoSpaceDE/>
        <w:autoSpaceDN/>
        <w:bidi w:val="0"/>
        <w:adjustRightInd/>
        <w:snapToGrid/>
        <w:spacing w:after="0" w:line="560" w:lineRule="exact"/>
        <w:textAlignment w:val="auto"/>
        <w:rPr>
          <w:rFonts w:ascii="仿宋_GB2312" w:eastAsia="仿宋_GB2312"/>
          <w:sz w:val="32"/>
          <w:szCs w:val="32"/>
        </w:rPr>
      </w:pPr>
      <w:r>
        <w:rPr>
          <w:rFonts w:ascii="仿宋_GB2312" w:eastAsia="仿宋_GB2312"/>
          <w:sz w:val="32"/>
          <w:szCs w:val="32"/>
        </w:rPr>
        <w:t>（二）政府采购情况</w:t>
      </w:r>
    </w:p>
    <w:p>
      <w:pPr>
        <w:keepNext w:val="0"/>
        <w:keepLines w:val="0"/>
        <w:pageBreakBefore w:val="0"/>
        <w:widowControl/>
        <w:kinsoku/>
        <w:wordWrap/>
        <w:overflowPunct/>
        <w:topLinePunct w:val="0"/>
        <w:autoSpaceDE/>
        <w:autoSpaceDN/>
        <w:bidi w:val="0"/>
        <w:adjustRightInd/>
        <w:snapToGrid/>
        <w:spacing w:after="0" w:line="560" w:lineRule="exact"/>
        <w:textAlignment w:val="auto"/>
        <w:rPr>
          <w:rFonts w:ascii="仿宋_GB2312" w:eastAsia="仿宋_GB2312"/>
          <w:sz w:val="32"/>
          <w:szCs w:val="32"/>
        </w:rPr>
      </w:pPr>
      <w:r>
        <w:rPr>
          <w:rFonts w:ascii="仿宋_GB2312" w:eastAsia="仿宋_GB2312"/>
          <w:sz w:val="32"/>
          <w:szCs w:val="32"/>
        </w:rPr>
        <w:t>（三）国有资产占用情况说明</w:t>
      </w:r>
    </w:p>
    <w:p>
      <w:pPr>
        <w:keepNext w:val="0"/>
        <w:keepLines w:val="0"/>
        <w:pageBreakBefore w:val="0"/>
        <w:widowControl/>
        <w:kinsoku/>
        <w:wordWrap/>
        <w:overflowPunct/>
        <w:topLinePunct w:val="0"/>
        <w:autoSpaceDE/>
        <w:autoSpaceDN/>
        <w:bidi w:val="0"/>
        <w:adjustRightInd/>
        <w:snapToGrid/>
        <w:spacing w:after="0" w:line="560" w:lineRule="exact"/>
        <w:textAlignment w:val="auto"/>
        <w:rPr>
          <w:rFonts w:ascii="仿宋_GB2312" w:eastAsia="仿宋_GB2312"/>
          <w:sz w:val="32"/>
          <w:szCs w:val="32"/>
        </w:rPr>
      </w:pPr>
      <w:r>
        <w:rPr>
          <w:rFonts w:ascii="仿宋_GB2312" w:eastAsia="仿宋_GB2312"/>
          <w:sz w:val="32"/>
          <w:szCs w:val="32"/>
        </w:rPr>
        <w:t>十一、预算绩效的情况说明</w:t>
      </w:r>
    </w:p>
    <w:p>
      <w:pPr>
        <w:keepNext w:val="0"/>
        <w:keepLines w:val="0"/>
        <w:pageBreakBefore w:val="0"/>
        <w:widowControl/>
        <w:kinsoku/>
        <w:wordWrap/>
        <w:overflowPunct/>
        <w:topLinePunct w:val="0"/>
        <w:autoSpaceDE/>
        <w:autoSpaceDN/>
        <w:bidi w:val="0"/>
        <w:adjustRightInd/>
        <w:snapToGrid/>
        <w:spacing w:after="0" w:line="560" w:lineRule="exact"/>
        <w:textAlignment w:val="auto"/>
        <w:rPr>
          <w:rFonts w:ascii="仿宋_GB2312" w:eastAsia="仿宋_GB2312"/>
          <w:sz w:val="32"/>
          <w:szCs w:val="32"/>
        </w:rPr>
      </w:pPr>
      <w:r>
        <w:rPr>
          <w:rFonts w:ascii="仿宋_GB2312" w:eastAsia="仿宋_GB2312"/>
          <w:sz w:val="32"/>
          <w:szCs w:val="32"/>
        </w:rPr>
        <w:t>十二、其他需说明的事项</w:t>
      </w:r>
    </w:p>
    <w:p>
      <w:pPr>
        <w:keepNext w:val="0"/>
        <w:keepLines w:val="0"/>
        <w:pageBreakBefore w:val="0"/>
        <w:widowControl/>
        <w:kinsoku/>
        <w:wordWrap/>
        <w:overflowPunct/>
        <w:topLinePunct w:val="0"/>
        <w:autoSpaceDE/>
        <w:autoSpaceDN/>
        <w:bidi w:val="0"/>
        <w:adjustRightInd/>
        <w:snapToGrid/>
        <w:spacing w:after="0" w:line="560" w:lineRule="exact"/>
        <w:textAlignment w:val="auto"/>
        <w:rPr>
          <w:rFonts w:ascii="仿宋_GB2312" w:eastAsia="仿宋_GB2312"/>
          <w:sz w:val="32"/>
          <w:szCs w:val="32"/>
        </w:rPr>
      </w:pPr>
      <w:r>
        <w:rPr>
          <w:rFonts w:ascii="仿宋_GB2312" w:eastAsia="仿宋_GB2312"/>
          <w:b/>
          <w:sz w:val="32"/>
          <w:szCs w:val="32"/>
        </w:rPr>
        <w:t>第三部分 专业名词解释</w:t>
      </w:r>
    </w:p>
    <w:p>
      <w:pPr>
        <w:keepNext w:val="0"/>
        <w:keepLines w:val="0"/>
        <w:pageBreakBefore w:val="0"/>
        <w:widowControl/>
        <w:kinsoku/>
        <w:wordWrap/>
        <w:overflowPunct/>
        <w:topLinePunct w:val="0"/>
        <w:autoSpaceDE/>
        <w:autoSpaceDN/>
        <w:bidi w:val="0"/>
        <w:adjustRightInd/>
        <w:snapToGrid/>
        <w:spacing w:after="0" w:line="560" w:lineRule="exact"/>
        <w:textAlignment w:val="auto"/>
        <w:rPr>
          <w:rFonts w:ascii="仿宋_GB2312" w:eastAsia="仿宋_GB2312"/>
          <w:sz w:val="32"/>
          <w:szCs w:val="32"/>
        </w:rPr>
      </w:pPr>
      <w:r>
        <w:rPr>
          <w:rFonts w:ascii="仿宋_GB2312" w:eastAsia="仿宋_GB2312"/>
          <w:b/>
          <w:sz w:val="32"/>
          <w:szCs w:val="32"/>
        </w:rPr>
        <w:t>第四部分 部门决算报表（见附表）</w:t>
      </w:r>
    </w:p>
    <w:p>
      <w:pPr>
        <w:keepNext w:val="0"/>
        <w:keepLines w:val="0"/>
        <w:pageBreakBefore w:val="0"/>
        <w:widowControl/>
        <w:kinsoku/>
        <w:wordWrap/>
        <w:overflowPunct/>
        <w:topLinePunct w:val="0"/>
        <w:autoSpaceDE/>
        <w:autoSpaceDN/>
        <w:bidi w:val="0"/>
        <w:adjustRightInd/>
        <w:snapToGrid/>
        <w:spacing w:after="0" w:line="560" w:lineRule="exact"/>
        <w:textAlignment w:val="auto"/>
        <w:rPr>
          <w:rFonts w:ascii="仿宋_GB2312" w:eastAsia="仿宋_GB2312"/>
          <w:sz w:val="32"/>
          <w:szCs w:val="32"/>
        </w:rPr>
      </w:pPr>
      <w:r>
        <w:rPr>
          <w:rFonts w:ascii="仿宋_GB2312" w:eastAsia="仿宋_GB2312"/>
          <w:sz w:val="32"/>
          <w:szCs w:val="32"/>
        </w:rPr>
        <w:t>一、《收入支出决算总表》</w:t>
      </w:r>
    </w:p>
    <w:p>
      <w:pPr>
        <w:keepNext w:val="0"/>
        <w:keepLines w:val="0"/>
        <w:pageBreakBefore w:val="0"/>
        <w:widowControl/>
        <w:kinsoku/>
        <w:wordWrap/>
        <w:overflowPunct/>
        <w:topLinePunct w:val="0"/>
        <w:autoSpaceDE/>
        <w:autoSpaceDN/>
        <w:bidi w:val="0"/>
        <w:adjustRightInd/>
        <w:snapToGrid/>
        <w:spacing w:after="0" w:line="560" w:lineRule="exact"/>
        <w:textAlignment w:val="auto"/>
        <w:rPr>
          <w:rFonts w:ascii="仿宋_GB2312" w:eastAsia="仿宋_GB2312"/>
          <w:sz w:val="32"/>
          <w:szCs w:val="32"/>
        </w:rPr>
      </w:pPr>
      <w:r>
        <w:rPr>
          <w:rFonts w:ascii="仿宋_GB2312" w:eastAsia="仿宋_GB2312"/>
          <w:sz w:val="32"/>
          <w:szCs w:val="32"/>
        </w:rPr>
        <w:t>二、《收入决算表》</w:t>
      </w:r>
    </w:p>
    <w:p>
      <w:pPr>
        <w:keepNext w:val="0"/>
        <w:keepLines w:val="0"/>
        <w:pageBreakBefore w:val="0"/>
        <w:widowControl/>
        <w:kinsoku/>
        <w:wordWrap/>
        <w:overflowPunct/>
        <w:topLinePunct w:val="0"/>
        <w:autoSpaceDE/>
        <w:autoSpaceDN/>
        <w:bidi w:val="0"/>
        <w:adjustRightInd/>
        <w:snapToGrid/>
        <w:spacing w:after="0" w:line="560" w:lineRule="exact"/>
        <w:textAlignment w:val="auto"/>
        <w:rPr>
          <w:rFonts w:ascii="仿宋_GB2312" w:eastAsia="仿宋_GB2312"/>
          <w:sz w:val="32"/>
          <w:szCs w:val="32"/>
        </w:rPr>
      </w:pPr>
      <w:r>
        <w:rPr>
          <w:rFonts w:ascii="仿宋_GB2312" w:eastAsia="仿宋_GB2312"/>
          <w:sz w:val="32"/>
          <w:szCs w:val="32"/>
        </w:rPr>
        <w:t>三、《支出决算表》</w:t>
      </w:r>
    </w:p>
    <w:p>
      <w:pPr>
        <w:keepNext w:val="0"/>
        <w:keepLines w:val="0"/>
        <w:pageBreakBefore w:val="0"/>
        <w:widowControl/>
        <w:kinsoku/>
        <w:wordWrap/>
        <w:overflowPunct/>
        <w:topLinePunct w:val="0"/>
        <w:autoSpaceDE/>
        <w:autoSpaceDN/>
        <w:bidi w:val="0"/>
        <w:adjustRightInd/>
        <w:snapToGrid/>
        <w:spacing w:after="0" w:line="560" w:lineRule="exact"/>
        <w:textAlignment w:val="auto"/>
        <w:rPr>
          <w:rFonts w:ascii="仿宋_GB2312" w:eastAsia="仿宋_GB2312"/>
          <w:sz w:val="32"/>
          <w:szCs w:val="32"/>
        </w:rPr>
      </w:pPr>
      <w:r>
        <w:rPr>
          <w:rFonts w:ascii="仿宋_GB2312" w:eastAsia="仿宋_GB2312"/>
          <w:sz w:val="32"/>
          <w:szCs w:val="32"/>
        </w:rPr>
        <w:t>四、《财政拨款收入支出决算总表》</w:t>
      </w:r>
    </w:p>
    <w:p>
      <w:pPr>
        <w:keepNext w:val="0"/>
        <w:keepLines w:val="0"/>
        <w:pageBreakBefore w:val="0"/>
        <w:widowControl/>
        <w:kinsoku/>
        <w:wordWrap/>
        <w:overflowPunct/>
        <w:topLinePunct w:val="0"/>
        <w:autoSpaceDE/>
        <w:autoSpaceDN/>
        <w:bidi w:val="0"/>
        <w:adjustRightInd/>
        <w:snapToGrid/>
        <w:spacing w:after="0" w:line="560" w:lineRule="exact"/>
        <w:textAlignment w:val="auto"/>
        <w:rPr>
          <w:rFonts w:ascii="仿宋_GB2312" w:eastAsia="仿宋_GB2312"/>
          <w:sz w:val="32"/>
          <w:szCs w:val="32"/>
        </w:rPr>
      </w:pPr>
      <w:r>
        <w:rPr>
          <w:rFonts w:ascii="仿宋_GB2312" w:eastAsia="仿宋_GB2312"/>
          <w:sz w:val="32"/>
          <w:szCs w:val="32"/>
        </w:rPr>
        <w:t>五、《一般公共预算财政拨款支出决算表》</w:t>
      </w:r>
    </w:p>
    <w:p>
      <w:pPr>
        <w:keepNext w:val="0"/>
        <w:keepLines w:val="0"/>
        <w:pageBreakBefore w:val="0"/>
        <w:widowControl/>
        <w:kinsoku/>
        <w:wordWrap/>
        <w:overflowPunct/>
        <w:topLinePunct w:val="0"/>
        <w:autoSpaceDE/>
        <w:autoSpaceDN/>
        <w:bidi w:val="0"/>
        <w:adjustRightInd/>
        <w:snapToGrid/>
        <w:spacing w:after="0" w:line="560" w:lineRule="exact"/>
        <w:textAlignment w:val="auto"/>
        <w:rPr>
          <w:rFonts w:ascii="仿宋_GB2312" w:eastAsia="仿宋_GB2312"/>
          <w:sz w:val="32"/>
          <w:szCs w:val="32"/>
        </w:rPr>
      </w:pPr>
      <w:r>
        <w:rPr>
          <w:rFonts w:ascii="仿宋_GB2312" w:eastAsia="仿宋_GB2312"/>
          <w:sz w:val="32"/>
          <w:szCs w:val="32"/>
        </w:rPr>
        <w:t>六、《一般公共预算财政拨款基本支出决算表》</w:t>
      </w:r>
    </w:p>
    <w:p>
      <w:pPr>
        <w:keepNext w:val="0"/>
        <w:keepLines w:val="0"/>
        <w:pageBreakBefore w:val="0"/>
        <w:widowControl/>
        <w:kinsoku/>
        <w:wordWrap/>
        <w:overflowPunct/>
        <w:topLinePunct w:val="0"/>
        <w:autoSpaceDE/>
        <w:autoSpaceDN/>
        <w:bidi w:val="0"/>
        <w:adjustRightInd/>
        <w:snapToGrid/>
        <w:spacing w:after="0" w:line="560" w:lineRule="exact"/>
        <w:textAlignment w:val="auto"/>
        <w:rPr>
          <w:rFonts w:ascii="仿宋_GB2312" w:eastAsia="仿宋_GB2312"/>
          <w:sz w:val="32"/>
          <w:szCs w:val="32"/>
        </w:rPr>
      </w:pPr>
      <w:r>
        <w:rPr>
          <w:rFonts w:ascii="仿宋_GB2312" w:eastAsia="仿宋_GB2312"/>
          <w:sz w:val="32"/>
          <w:szCs w:val="32"/>
        </w:rPr>
        <w:t>七、《政府性基金预算财政拨款收入支出决算表》</w:t>
      </w:r>
    </w:p>
    <w:p>
      <w:pPr>
        <w:keepNext w:val="0"/>
        <w:keepLines w:val="0"/>
        <w:pageBreakBefore w:val="0"/>
        <w:widowControl/>
        <w:kinsoku/>
        <w:wordWrap/>
        <w:overflowPunct/>
        <w:topLinePunct w:val="0"/>
        <w:autoSpaceDE/>
        <w:autoSpaceDN/>
        <w:bidi w:val="0"/>
        <w:adjustRightInd/>
        <w:snapToGrid/>
        <w:spacing w:after="0" w:line="560" w:lineRule="exact"/>
        <w:textAlignment w:val="auto"/>
        <w:rPr>
          <w:rFonts w:ascii="仿宋_GB2312" w:eastAsia="仿宋_GB2312"/>
          <w:sz w:val="32"/>
          <w:szCs w:val="32"/>
        </w:rPr>
      </w:pPr>
      <w:r>
        <w:rPr>
          <w:rFonts w:ascii="仿宋_GB2312" w:eastAsia="仿宋_GB2312"/>
          <w:sz w:val="32"/>
          <w:szCs w:val="32"/>
        </w:rPr>
        <w:t>八、《国有资本经营预算财政拨款收入支出决算表》</w:t>
      </w:r>
    </w:p>
    <w:p>
      <w:pPr>
        <w:keepNext w:val="0"/>
        <w:keepLines w:val="0"/>
        <w:pageBreakBefore w:val="0"/>
        <w:widowControl/>
        <w:kinsoku/>
        <w:wordWrap/>
        <w:overflowPunct/>
        <w:topLinePunct w:val="0"/>
        <w:autoSpaceDE/>
        <w:autoSpaceDN/>
        <w:bidi w:val="0"/>
        <w:adjustRightInd/>
        <w:snapToGrid/>
        <w:spacing w:after="0" w:line="560" w:lineRule="exact"/>
        <w:textAlignment w:val="auto"/>
        <w:rPr>
          <w:rFonts w:ascii="仿宋_GB2312" w:eastAsia="仿宋_GB2312"/>
          <w:sz w:val="32"/>
          <w:szCs w:val="32"/>
        </w:rPr>
      </w:pPr>
      <w:r>
        <w:rPr>
          <w:rFonts w:ascii="仿宋_GB2312" w:eastAsia="仿宋_GB2312"/>
          <w:sz w:val="32"/>
          <w:szCs w:val="32"/>
        </w:rPr>
        <w:t>九、《财政拨款“三公”经费支出决算表》</w:t>
      </w:r>
    </w:p>
    <w:p>
      <w:pPr>
        <w:keepNext w:val="0"/>
        <w:keepLines w:val="0"/>
        <w:pageBreakBefore w:val="0"/>
        <w:widowControl/>
        <w:kinsoku/>
        <w:wordWrap/>
        <w:overflowPunct/>
        <w:topLinePunct w:val="0"/>
        <w:autoSpaceDE/>
        <w:autoSpaceDN/>
        <w:bidi w:val="0"/>
        <w:adjustRightInd/>
        <w:snapToGrid/>
        <w:spacing w:line="560" w:lineRule="exact"/>
        <w:textAlignment w:val="auto"/>
      </w:pPr>
      <w:r>
        <w:rPr>
          <w:sz w:val="0"/>
          <w:szCs w:val="0"/>
        </w:rPr>
        <w:br w:type="page"/>
      </w:r>
    </w:p>
    <w:p>
      <w:pPr>
        <w:keepNext w:val="0"/>
        <w:keepLines w:val="0"/>
        <w:pageBreakBefore w:val="0"/>
        <w:widowControl/>
        <w:kinsoku/>
        <w:wordWrap/>
        <w:overflowPunct/>
        <w:topLinePunct w:val="0"/>
        <w:autoSpaceDE/>
        <w:autoSpaceDN/>
        <w:bidi w:val="0"/>
        <w:adjustRightInd/>
        <w:snapToGrid/>
        <w:spacing w:after="0" w:line="560" w:lineRule="exact"/>
        <w:jc w:val="center"/>
        <w:textAlignment w:val="auto"/>
        <w:outlineLvl w:val="0"/>
        <w:rPr>
          <w:rFonts w:ascii="黑体" w:eastAsia="黑体"/>
          <w:sz w:val="32"/>
          <w:szCs w:val="32"/>
        </w:rPr>
      </w:pPr>
      <w:r>
        <w:rPr>
          <w:rFonts w:ascii="黑体" w:eastAsia="黑体"/>
          <w:sz w:val="32"/>
          <w:szCs w:val="32"/>
        </w:rPr>
        <w:t>第一部分 单位概况</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outlineLvl w:val="1"/>
        <w:rPr>
          <w:rFonts w:ascii="黑体" w:eastAsia="黑体"/>
          <w:sz w:val="32"/>
          <w:szCs w:val="32"/>
        </w:rPr>
      </w:pPr>
      <w:r>
        <w:rPr>
          <w:rFonts w:ascii="黑体" w:eastAsia="黑体"/>
          <w:sz w:val="32"/>
          <w:szCs w:val="32"/>
        </w:rPr>
        <w:t> 一、主要职能</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outlineLvl w:val="1"/>
        <w:rPr>
          <w:rFonts w:hint="eastAsia" w:ascii="仿宋_GB2312" w:eastAsia="仿宋_GB2312"/>
          <w:sz w:val="32"/>
          <w:szCs w:val="32"/>
        </w:rPr>
      </w:pPr>
      <w:r>
        <w:rPr>
          <w:rFonts w:ascii="仿宋_GB2312" w:eastAsia="仿宋_GB2312"/>
          <w:sz w:val="32"/>
          <w:szCs w:val="32"/>
        </w:rPr>
        <w:t>一是依托自身的技术优势和研究能力，为新疆广播电视事业发展和科学技术重大项目提供科学论证和决策咨询；二是对广播电视数字化、信息化、网络化新技术、新业务的应用进行跟踪和先导实验研究，为广播电视事业发展、产业运营奠定基础；三是对涉及我区广播电视重大科技项目进行系统研究和应用，提升我区广播电视科技创新能力；四是面向广电行业，立足公共服务，大力开展我区广播电视应用性科技项目的推广和产品研发</w:t>
      </w:r>
      <w:r>
        <w:rPr>
          <w:rFonts w:hint="eastAsia" w:ascii="仿宋_GB2312" w:eastAsia="仿宋_GB2312"/>
          <w:sz w:val="32"/>
          <w:szCs w:val="32"/>
        </w:rPr>
        <w:t>。</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outlineLvl w:val="1"/>
        <w:rPr>
          <w:rFonts w:ascii="黑体" w:eastAsia="黑体"/>
          <w:sz w:val="32"/>
          <w:szCs w:val="32"/>
        </w:rPr>
      </w:pPr>
      <w:r>
        <w:rPr>
          <w:rFonts w:ascii="黑体" w:eastAsia="黑体"/>
          <w:sz w:val="32"/>
          <w:szCs w:val="32"/>
        </w:rPr>
        <w:t>二、机构设置及人员情况</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rFonts w:ascii="仿宋_GB2312" w:eastAsia="仿宋_GB2312"/>
          <w:sz w:val="32"/>
          <w:szCs w:val="32"/>
        </w:rPr>
      </w:pPr>
      <w:r>
        <w:rPr>
          <w:rFonts w:ascii="仿宋_GB2312" w:eastAsia="仿宋_GB2312"/>
          <w:sz w:val="32"/>
          <w:szCs w:val="32"/>
        </w:rPr>
        <w:t>新疆维吾尔自治区广播电视研究所2024年度，实有人数33人，其中：在职人员16人，减少2人；离休人员0人，较上年无变化；退休人员17人，较上年无变化；</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rFonts w:ascii="仿宋_GB2312" w:eastAsia="仿宋_GB2312"/>
          <w:sz w:val="32"/>
          <w:szCs w:val="32"/>
        </w:rPr>
      </w:pPr>
      <w:r>
        <w:rPr>
          <w:rFonts w:ascii="仿宋_GB2312" w:eastAsia="仿宋_GB2312"/>
          <w:sz w:val="32"/>
          <w:szCs w:val="32"/>
        </w:rPr>
        <w:t>新疆维吾尔自治区广播电视研究所无下属预算单位，下设3个</w:t>
      </w:r>
      <w:r>
        <w:rPr>
          <w:rFonts w:hint="eastAsia" w:ascii="仿宋_GB2312" w:eastAsia="仿宋_GB2312"/>
          <w:sz w:val="32"/>
          <w:szCs w:val="32"/>
          <w:lang w:val="en-US" w:eastAsia="zh-CN"/>
        </w:rPr>
        <w:t>科</w:t>
      </w:r>
      <w:r>
        <w:rPr>
          <w:rFonts w:ascii="仿宋_GB2312" w:eastAsia="仿宋_GB2312"/>
          <w:sz w:val="32"/>
          <w:szCs w:val="32"/>
        </w:rPr>
        <w:t>室，分别是：财务部，综合部，研发中心。</w:t>
      </w:r>
    </w:p>
    <w:p>
      <w:pPr>
        <w:keepNext w:val="0"/>
        <w:keepLines w:val="0"/>
        <w:pageBreakBefore w:val="0"/>
        <w:widowControl/>
        <w:kinsoku/>
        <w:wordWrap/>
        <w:overflowPunct/>
        <w:topLinePunct w:val="0"/>
        <w:autoSpaceDE/>
        <w:autoSpaceDN/>
        <w:bidi w:val="0"/>
        <w:adjustRightInd/>
        <w:snapToGrid/>
        <w:spacing w:line="560" w:lineRule="exact"/>
        <w:textAlignment w:val="auto"/>
      </w:pPr>
      <w:r>
        <w:rPr>
          <w:sz w:val="0"/>
          <w:szCs w:val="0"/>
        </w:rPr>
        <w:br w:type="page"/>
      </w:r>
    </w:p>
    <w:p>
      <w:pPr>
        <w:keepNext w:val="0"/>
        <w:keepLines w:val="0"/>
        <w:pageBreakBefore w:val="0"/>
        <w:widowControl/>
        <w:kinsoku/>
        <w:wordWrap/>
        <w:overflowPunct/>
        <w:topLinePunct w:val="0"/>
        <w:autoSpaceDE/>
        <w:autoSpaceDN/>
        <w:bidi w:val="0"/>
        <w:adjustRightInd/>
        <w:snapToGrid/>
        <w:spacing w:after="0" w:line="560" w:lineRule="exact"/>
        <w:jc w:val="center"/>
        <w:textAlignment w:val="auto"/>
        <w:outlineLvl w:val="0"/>
        <w:rPr>
          <w:rFonts w:ascii="黑体" w:eastAsia="黑体"/>
          <w:sz w:val="32"/>
          <w:szCs w:val="32"/>
        </w:rPr>
      </w:pPr>
      <w:r>
        <w:rPr>
          <w:rFonts w:ascii="黑体" w:eastAsia="黑体"/>
          <w:sz w:val="32"/>
          <w:szCs w:val="32"/>
        </w:rPr>
        <w:t>第二部分 部门决算情况说明</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outlineLvl w:val="1"/>
        <w:rPr>
          <w:rFonts w:ascii="黑体" w:eastAsia="黑体"/>
          <w:sz w:val="32"/>
          <w:szCs w:val="32"/>
        </w:rPr>
      </w:pPr>
      <w:r>
        <w:rPr>
          <w:rFonts w:ascii="黑体" w:eastAsia="黑体"/>
          <w:sz w:val="32"/>
          <w:szCs w:val="32"/>
        </w:rPr>
        <w:t>一、收入支出决算总体情况说明</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rFonts w:ascii="仿宋_GB2312" w:eastAsia="仿宋_GB2312"/>
          <w:sz w:val="32"/>
          <w:szCs w:val="32"/>
        </w:rPr>
      </w:pPr>
      <w:r>
        <w:rPr>
          <w:rFonts w:ascii="仿宋_GB2312" w:eastAsia="仿宋_GB2312"/>
          <w:sz w:val="32"/>
          <w:szCs w:val="32"/>
        </w:rPr>
        <w:t>2024年度收入总计1,556.79万元，其中：本年收入合计1,556.79万元，使用非财政拨款结余（含专用结余）0.00万元，年初结转和结余0.00万元。</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rFonts w:ascii="仿宋_GB2312" w:eastAsia="仿宋_GB2312"/>
          <w:sz w:val="32"/>
          <w:szCs w:val="32"/>
        </w:rPr>
      </w:pPr>
      <w:r>
        <w:rPr>
          <w:rFonts w:ascii="仿宋_GB2312" w:eastAsia="仿宋_GB2312"/>
          <w:sz w:val="32"/>
          <w:szCs w:val="32"/>
        </w:rPr>
        <w:t>2024年度支出总计1,556.79万元，其中：本年支出合计770.41万元，结余分配786.38万元，年末结转和结余0.00万元。</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rFonts w:ascii="仿宋_GB2312" w:eastAsia="仿宋_GB2312"/>
          <w:sz w:val="32"/>
          <w:szCs w:val="32"/>
        </w:rPr>
      </w:pPr>
      <w:r>
        <w:rPr>
          <w:rFonts w:ascii="仿宋_GB2312" w:eastAsia="仿宋_GB2312"/>
          <w:sz w:val="32"/>
          <w:szCs w:val="32"/>
        </w:rPr>
        <w:t>收入支出总体与上年相比，增加680.54万元，增长77.67%，主要原因是：子公司房产拆迁赔偿款747万确认为其他收入。</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outlineLvl w:val="1"/>
        <w:rPr>
          <w:rFonts w:ascii="黑体" w:eastAsia="黑体"/>
          <w:sz w:val="32"/>
          <w:szCs w:val="32"/>
        </w:rPr>
      </w:pPr>
      <w:r>
        <w:rPr>
          <w:rFonts w:ascii="黑体" w:eastAsia="黑体"/>
          <w:sz w:val="32"/>
          <w:szCs w:val="32"/>
        </w:rPr>
        <w:t>二、收入决算情况说明</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rFonts w:ascii="仿宋_GB2312" w:eastAsia="仿宋_GB2312"/>
          <w:sz w:val="32"/>
          <w:szCs w:val="32"/>
        </w:rPr>
      </w:pPr>
      <w:r>
        <w:rPr>
          <w:rFonts w:ascii="仿宋_GB2312" w:eastAsia="仿宋_GB2312"/>
          <w:sz w:val="32"/>
          <w:szCs w:val="32"/>
        </w:rPr>
        <w:t>本年收入1,556.79万元，其中：财政拨款收入5.39万元,占0.35%；上级补助收入0.00万元,占0.00%；事业收入0.00万元，占0.00%；经营收入1,475.31万元,占94.77%；附属单位上缴收入0.00万元，占0.00%；其他收入76.09万元，占4.89%。</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outlineLvl w:val="1"/>
        <w:rPr>
          <w:rFonts w:ascii="黑体" w:eastAsia="黑体"/>
          <w:sz w:val="32"/>
          <w:szCs w:val="32"/>
        </w:rPr>
      </w:pPr>
      <w:r>
        <w:rPr>
          <w:rFonts w:ascii="黑体" w:eastAsia="黑体"/>
          <w:sz w:val="32"/>
          <w:szCs w:val="32"/>
        </w:rPr>
        <w:t>三、支出决算情况说明</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rFonts w:ascii="仿宋_GB2312" w:eastAsia="仿宋_GB2312"/>
          <w:sz w:val="32"/>
          <w:szCs w:val="32"/>
        </w:rPr>
      </w:pPr>
      <w:r>
        <w:rPr>
          <w:rFonts w:ascii="仿宋_GB2312" w:eastAsia="仿宋_GB2312"/>
          <w:sz w:val="32"/>
          <w:szCs w:val="32"/>
        </w:rPr>
        <w:t>本年支出770.41万元，其中：基本支出81.48万元，占10.58%；项目支出0.00万元，占0.00%；上缴上级支出0.00万元，占0.00%；经营支出688.93万元，占89.42%；对附属单位补助支出0.00万元，占0.00%。</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outlineLvl w:val="1"/>
        <w:rPr>
          <w:rFonts w:ascii="黑体" w:eastAsia="黑体"/>
          <w:sz w:val="32"/>
          <w:szCs w:val="32"/>
        </w:rPr>
      </w:pPr>
      <w:r>
        <w:rPr>
          <w:rFonts w:ascii="黑体" w:eastAsia="黑体"/>
          <w:sz w:val="32"/>
          <w:szCs w:val="32"/>
        </w:rPr>
        <w:t>四、财政拨款收入支出决算总体情况说明</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rFonts w:ascii="仿宋_GB2312" w:eastAsia="仿宋_GB2312"/>
          <w:sz w:val="32"/>
          <w:szCs w:val="32"/>
        </w:rPr>
      </w:pPr>
      <w:r>
        <w:rPr>
          <w:rFonts w:ascii="仿宋_GB2312" w:eastAsia="仿宋_GB2312"/>
          <w:sz w:val="32"/>
          <w:szCs w:val="32"/>
        </w:rPr>
        <w:t>2024年度财政拨款收入总计5.39万元，其中：年初财政拨款结转和结余0.00万元，本年财政拨款收入5.39万元。财政拨款支出总计5.39万元，其中：年末财政拨款结转和结余0.00万元，本年财政拨款支出5.39万元。</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rFonts w:ascii="仿宋_GB2312" w:eastAsia="仿宋_GB2312"/>
          <w:sz w:val="32"/>
          <w:szCs w:val="32"/>
        </w:rPr>
      </w:pPr>
      <w:r>
        <w:rPr>
          <w:rFonts w:ascii="仿宋_GB2312" w:eastAsia="仿宋_GB2312"/>
          <w:sz w:val="32"/>
          <w:szCs w:val="32"/>
        </w:rPr>
        <w:t>财政拨款收入支出总体与上年相比，增加3.10万元，增长135.37%，主要原因是：2024年度收到2023年9月-2024年12月的</w:t>
      </w:r>
      <w:r>
        <w:rPr>
          <w:rFonts w:hint="eastAsia" w:ascii="仿宋_GB2312" w:eastAsia="仿宋_GB2312"/>
          <w:sz w:val="32"/>
          <w:szCs w:val="32"/>
          <w:lang w:eastAsia="zh-CN"/>
        </w:rPr>
        <w:t>退休人员退休费、取暖费及活动费等</w:t>
      </w:r>
      <w:r>
        <w:rPr>
          <w:rFonts w:ascii="仿宋_GB2312" w:eastAsia="仿宋_GB2312"/>
          <w:sz w:val="32"/>
          <w:szCs w:val="32"/>
        </w:rPr>
        <w:t>。与年初预算相比，年初预算数4.39万元，决算数5.39万元，预决算差异率22.78%，主要原因是：</w:t>
      </w:r>
      <w:r>
        <w:rPr>
          <w:rFonts w:hint="eastAsia" w:ascii="仿宋_GB2312" w:eastAsia="仿宋_GB2312"/>
          <w:sz w:val="32"/>
          <w:szCs w:val="32"/>
          <w:lang w:eastAsia="zh-CN"/>
        </w:rPr>
        <w:t>本年收到</w:t>
      </w:r>
      <w:r>
        <w:rPr>
          <w:rFonts w:hint="eastAsia" w:ascii="仿宋_GB2312" w:eastAsia="仿宋_GB2312"/>
          <w:sz w:val="32"/>
          <w:szCs w:val="32"/>
          <w:lang w:val="en-US" w:eastAsia="zh-CN"/>
        </w:rPr>
        <w:t>上年年退休人员费用</w:t>
      </w:r>
      <w:r>
        <w:rPr>
          <w:rFonts w:ascii="仿宋_GB2312" w:eastAsia="仿宋_GB2312"/>
          <w:sz w:val="32"/>
          <w:szCs w:val="32"/>
        </w:rPr>
        <w:t>。</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outlineLvl w:val="1"/>
        <w:rPr>
          <w:rFonts w:ascii="黑体" w:eastAsia="黑体"/>
          <w:sz w:val="32"/>
          <w:szCs w:val="32"/>
        </w:rPr>
      </w:pPr>
      <w:r>
        <w:rPr>
          <w:rFonts w:ascii="黑体" w:eastAsia="黑体"/>
          <w:sz w:val="32"/>
          <w:szCs w:val="32"/>
        </w:rPr>
        <w:t>五、一般公共预算财政拨款支出决算情况说明</w:t>
      </w:r>
    </w:p>
    <w:p>
      <w:pPr>
        <w:keepNext w:val="0"/>
        <w:keepLines w:val="0"/>
        <w:pageBreakBefore w:val="0"/>
        <w:widowControl/>
        <w:kinsoku/>
        <w:wordWrap/>
        <w:overflowPunct/>
        <w:topLinePunct w:val="0"/>
        <w:autoSpaceDE/>
        <w:autoSpaceDN/>
        <w:bidi w:val="0"/>
        <w:adjustRightInd/>
        <w:snapToGrid/>
        <w:spacing w:after="0" w:line="560" w:lineRule="exact"/>
        <w:ind w:firstLine="643" w:firstLineChars="200"/>
        <w:textAlignment w:val="auto"/>
        <w:outlineLvl w:val="2"/>
        <w:rPr>
          <w:rFonts w:ascii="黑体" w:eastAsia="黑体"/>
          <w:sz w:val="32"/>
          <w:szCs w:val="32"/>
        </w:rPr>
      </w:pPr>
      <w:r>
        <w:rPr>
          <w:rFonts w:ascii="黑体" w:eastAsia="黑体"/>
          <w:b/>
          <w:sz w:val="32"/>
          <w:szCs w:val="32"/>
        </w:rPr>
        <w:t>（一）一般公共预算财政拨款支出决算总体情况</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rFonts w:ascii="仿宋_GB2312" w:eastAsia="仿宋_GB2312"/>
          <w:sz w:val="32"/>
          <w:szCs w:val="32"/>
        </w:rPr>
      </w:pPr>
      <w:r>
        <w:rPr>
          <w:rFonts w:ascii="仿宋_GB2312" w:eastAsia="仿宋_GB2312"/>
          <w:sz w:val="32"/>
          <w:szCs w:val="32"/>
        </w:rPr>
        <w:t>2024年度一般公共预算财政拨款支出5.39万元，占本年支出合计的0.70%。与上年相比，增加3.10万元，增长135.37%，主要原因是：2024年度收到2023年9月-2024年12月的</w:t>
      </w:r>
      <w:r>
        <w:rPr>
          <w:rFonts w:hint="eastAsia" w:ascii="仿宋_GB2312" w:eastAsia="仿宋_GB2312"/>
          <w:sz w:val="32"/>
          <w:szCs w:val="32"/>
          <w:lang w:eastAsia="zh-CN"/>
        </w:rPr>
        <w:t>退休人员退休费、取暖费及活动费等</w:t>
      </w:r>
      <w:r>
        <w:rPr>
          <w:rFonts w:ascii="仿宋_GB2312" w:eastAsia="仿宋_GB2312"/>
          <w:sz w:val="32"/>
          <w:szCs w:val="32"/>
        </w:rPr>
        <w:t>。与年初预算相比，年初预算数4.39万元，决算数5.39万元，预决算差异率22.78%，主要原因是：</w:t>
      </w:r>
      <w:r>
        <w:rPr>
          <w:rFonts w:hint="eastAsia" w:ascii="仿宋_GB2312" w:eastAsia="仿宋_GB2312"/>
          <w:sz w:val="32"/>
          <w:szCs w:val="32"/>
          <w:lang w:eastAsia="zh-CN"/>
        </w:rPr>
        <w:t>本年收到</w:t>
      </w:r>
      <w:r>
        <w:rPr>
          <w:rFonts w:hint="eastAsia" w:ascii="仿宋_GB2312" w:eastAsia="仿宋_GB2312"/>
          <w:sz w:val="32"/>
          <w:szCs w:val="32"/>
          <w:lang w:val="en-US" w:eastAsia="zh-CN"/>
        </w:rPr>
        <w:t>上年年退休人员费用</w:t>
      </w:r>
      <w:r>
        <w:rPr>
          <w:rFonts w:ascii="仿宋_GB2312" w:eastAsia="仿宋_GB2312"/>
          <w:sz w:val="32"/>
          <w:szCs w:val="32"/>
        </w:rPr>
        <w:t>。</w:t>
      </w:r>
    </w:p>
    <w:p>
      <w:pPr>
        <w:keepNext w:val="0"/>
        <w:keepLines w:val="0"/>
        <w:pageBreakBefore w:val="0"/>
        <w:widowControl/>
        <w:kinsoku/>
        <w:wordWrap/>
        <w:overflowPunct/>
        <w:topLinePunct w:val="0"/>
        <w:autoSpaceDE/>
        <w:autoSpaceDN/>
        <w:bidi w:val="0"/>
        <w:adjustRightInd/>
        <w:snapToGrid/>
        <w:spacing w:after="0" w:line="560" w:lineRule="exact"/>
        <w:ind w:firstLine="643" w:firstLineChars="200"/>
        <w:textAlignment w:val="auto"/>
        <w:outlineLvl w:val="2"/>
        <w:rPr>
          <w:rFonts w:ascii="黑体" w:eastAsia="黑体"/>
          <w:sz w:val="32"/>
          <w:szCs w:val="32"/>
        </w:rPr>
      </w:pPr>
      <w:r>
        <w:rPr>
          <w:rFonts w:ascii="黑体" w:eastAsia="黑体"/>
          <w:b/>
          <w:sz w:val="32"/>
          <w:szCs w:val="32"/>
        </w:rPr>
        <w:t>（二）一般公共预算财政拨款支出决算结构情况</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rFonts w:ascii="仿宋_GB2312" w:eastAsia="仿宋_GB2312"/>
          <w:sz w:val="32"/>
          <w:szCs w:val="32"/>
        </w:rPr>
      </w:pPr>
      <w:r>
        <w:rPr>
          <w:rFonts w:ascii="仿宋_GB2312" w:eastAsia="仿宋_GB2312"/>
          <w:sz w:val="32"/>
          <w:szCs w:val="32"/>
        </w:rPr>
        <w:t>科学技术支出（类）5.39万元，占100.00%。</w:t>
      </w:r>
    </w:p>
    <w:p>
      <w:pPr>
        <w:keepNext w:val="0"/>
        <w:keepLines w:val="0"/>
        <w:pageBreakBefore w:val="0"/>
        <w:widowControl/>
        <w:kinsoku/>
        <w:wordWrap/>
        <w:overflowPunct/>
        <w:topLinePunct w:val="0"/>
        <w:autoSpaceDE/>
        <w:autoSpaceDN/>
        <w:bidi w:val="0"/>
        <w:adjustRightInd/>
        <w:snapToGrid/>
        <w:spacing w:after="0" w:line="560" w:lineRule="exact"/>
        <w:ind w:firstLine="643" w:firstLineChars="200"/>
        <w:textAlignment w:val="auto"/>
        <w:outlineLvl w:val="2"/>
        <w:rPr>
          <w:rFonts w:ascii="黑体" w:eastAsia="黑体"/>
          <w:sz w:val="32"/>
          <w:szCs w:val="32"/>
        </w:rPr>
      </w:pPr>
      <w:r>
        <w:rPr>
          <w:rFonts w:ascii="黑体" w:eastAsia="黑体"/>
          <w:b/>
          <w:sz w:val="32"/>
          <w:szCs w:val="32"/>
        </w:rPr>
        <w:t>（三）一般公共预算财政拨款支出决算具体情况</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rPr>
          <w:rFonts w:ascii="仿宋_GB2312" w:eastAsia="仿宋_GB2312"/>
          <w:sz w:val="32"/>
          <w:szCs w:val="32"/>
        </w:rPr>
      </w:pPr>
      <w:r>
        <w:rPr>
          <w:rFonts w:ascii="仿宋_GB2312" w:eastAsia="仿宋_GB2312"/>
          <w:sz w:val="32"/>
          <w:szCs w:val="32"/>
        </w:rPr>
        <w:t>1、科学技术支出（类）技术研究与开发（款）机构运行（项）：支出决算数为5.39万元，比上年决算增加3.10万元，增长135.37%，主要原因是：2024年度收到2023年9月-2024年12月的</w:t>
      </w:r>
      <w:r>
        <w:rPr>
          <w:rFonts w:hint="eastAsia" w:ascii="仿宋_GB2312" w:eastAsia="仿宋_GB2312"/>
          <w:sz w:val="32"/>
          <w:szCs w:val="32"/>
          <w:lang w:eastAsia="zh-CN"/>
        </w:rPr>
        <w:t>退休人员退休费、取暖费及活动费等</w:t>
      </w:r>
      <w:r>
        <w:rPr>
          <w:rFonts w:ascii="仿宋_GB2312" w:eastAsia="仿宋_GB2312"/>
          <w:sz w:val="32"/>
          <w:szCs w:val="32"/>
        </w:rPr>
        <w:t>。</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outlineLvl w:val="1"/>
        <w:rPr>
          <w:rFonts w:ascii="黑体" w:eastAsia="黑体"/>
          <w:sz w:val="32"/>
          <w:szCs w:val="32"/>
        </w:rPr>
      </w:pPr>
      <w:r>
        <w:rPr>
          <w:rFonts w:ascii="黑体" w:eastAsia="黑体"/>
          <w:sz w:val="32"/>
          <w:szCs w:val="32"/>
        </w:rPr>
        <w:t>六、一般公共预算财政拨款基本支出决算情况说明</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rFonts w:ascii="仿宋_GB2312" w:eastAsia="仿宋_GB2312"/>
          <w:sz w:val="32"/>
          <w:szCs w:val="32"/>
        </w:rPr>
      </w:pPr>
      <w:r>
        <w:rPr>
          <w:rFonts w:ascii="仿宋_GB2312" w:eastAsia="仿宋_GB2312"/>
          <w:sz w:val="32"/>
          <w:szCs w:val="32"/>
        </w:rPr>
        <w:t>2024年度一般公共预算财政拨款基本支出5.39万元，其中：人员经费4.99万元，包括：退休费和其他对个人和家庭的补助。</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rFonts w:ascii="仿宋_GB2312" w:eastAsia="仿宋_GB2312"/>
          <w:sz w:val="32"/>
          <w:szCs w:val="32"/>
        </w:rPr>
      </w:pPr>
      <w:r>
        <w:rPr>
          <w:rFonts w:ascii="仿宋_GB2312" w:eastAsia="仿宋_GB2312"/>
          <w:sz w:val="32"/>
          <w:szCs w:val="32"/>
        </w:rPr>
        <w:t>公用经费0.40万元，包括：</w:t>
      </w:r>
      <w:r>
        <w:rPr>
          <w:rFonts w:hint="eastAsia" w:ascii="仿宋_GB2312" w:eastAsia="仿宋_GB2312"/>
          <w:sz w:val="32"/>
          <w:szCs w:val="32"/>
        </w:rPr>
        <w:t>其他商品和服务支出</w:t>
      </w:r>
      <w:r>
        <w:rPr>
          <w:rFonts w:ascii="仿宋_GB2312" w:eastAsia="仿宋_GB2312"/>
          <w:sz w:val="32"/>
          <w:szCs w:val="32"/>
        </w:rPr>
        <w:t>。</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outlineLvl w:val="1"/>
        <w:rPr>
          <w:rFonts w:ascii="黑体" w:eastAsia="黑体"/>
          <w:sz w:val="32"/>
          <w:szCs w:val="32"/>
        </w:rPr>
      </w:pPr>
      <w:r>
        <w:rPr>
          <w:rFonts w:ascii="黑体" w:eastAsia="黑体"/>
          <w:sz w:val="32"/>
          <w:szCs w:val="32"/>
        </w:rPr>
        <w:t>七、政府性基金预算财政拨款收入支出决算情况说明</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rFonts w:ascii="仿宋_GB2312" w:eastAsia="仿宋_GB2312"/>
          <w:sz w:val="32"/>
          <w:szCs w:val="32"/>
        </w:rPr>
      </w:pPr>
      <w:r>
        <w:rPr>
          <w:rFonts w:ascii="仿宋_GB2312" w:eastAsia="仿宋_GB2312"/>
          <w:sz w:val="32"/>
          <w:szCs w:val="32"/>
        </w:rPr>
        <w:t>本单位本年度无政府性基金预算财政拨款收入、支出及结转和结余，政府性基金预算财政拨款收入支出决算表为空表。</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outlineLvl w:val="1"/>
        <w:rPr>
          <w:rFonts w:ascii="黑体" w:eastAsia="黑体"/>
          <w:sz w:val="32"/>
          <w:szCs w:val="32"/>
        </w:rPr>
      </w:pPr>
      <w:r>
        <w:rPr>
          <w:rFonts w:ascii="黑体" w:eastAsia="黑体"/>
          <w:sz w:val="32"/>
          <w:szCs w:val="32"/>
        </w:rPr>
        <w:t>八、国有资本经营预算财政拨款收入支出决算情况说明</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rFonts w:ascii="仿宋_GB2312" w:eastAsia="仿宋_GB2312"/>
          <w:sz w:val="32"/>
          <w:szCs w:val="32"/>
        </w:rPr>
      </w:pPr>
      <w:r>
        <w:rPr>
          <w:rFonts w:ascii="仿宋_GB2312" w:eastAsia="仿宋_GB2312"/>
          <w:sz w:val="32"/>
          <w:szCs w:val="32"/>
        </w:rPr>
        <w:t>本单位本年度无国有资本经营预算财政拨款收入、支出及结转和结余，国有资本经营预算财政拨款收入支出决算表为空表。</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outlineLvl w:val="1"/>
        <w:rPr>
          <w:rFonts w:ascii="黑体" w:eastAsia="黑体"/>
          <w:sz w:val="32"/>
          <w:szCs w:val="32"/>
        </w:rPr>
      </w:pPr>
      <w:r>
        <w:rPr>
          <w:rFonts w:ascii="黑体" w:eastAsia="黑体"/>
          <w:sz w:val="32"/>
          <w:szCs w:val="32"/>
        </w:rPr>
        <w:t>九、财政拨款“三公”经费支出决算情况说明</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rFonts w:ascii="仿宋_GB2312" w:eastAsia="仿宋_GB2312"/>
          <w:sz w:val="32"/>
          <w:szCs w:val="32"/>
        </w:rPr>
      </w:pPr>
      <w:r>
        <w:rPr>
          <w:rFonts w:ascii="仿宋_GB2312" w:eastAsia="仿宋_GB2312"/>
          <w:sz w:val="32"/>
          <w:szCs w:val="32"/>
        </w:rPr>
        <w:t>2024年度财政拨款“三公”经费支出0.00万元，与上年相比无变化，主要原因是：</w:t>
      </w:r>
      <w:r>
        <w:rPr>
          <w:rFonts w:hint="eastAsia" w:ascii="仿宋_GB2312" w:eastAsia="仿宋_GB2312"/>
          <w:sz w:val="32"/>
          <w:szCs w:val="32"/>
        </w:rPr>
        <w:t>我单位2023年度与2024年度均未安排</w:t>
      </w:r>
      <w:r>
        <w:rPr>
          <w:rFonts w:hint="eastAsia" w:ascii="仿宋_GB2312" w:eastAsia="仿宋_GB2312"/>
          <w:sz w:val="32"/>
          <w:szCs w:val="32"/>
          <w:lang w:val="en-US" w:eastAsia="zh-CN"/>
        </w:rPr>
        <w:t>三公经费</w:t>
      </w:r>
      <w:r>
        <w:rPr>
          <w:rFonts w:ascii="仿宋_GB2312" w:eastAsia="仿宋_GB2312"/>
          <w:sz w:val="32"/>
          <w:szCs w:val="32"/>
        </w:rPr>
        <w:t>。其中：因公出国（境）费支出0.00万元,占0.00%，与上年相比无变化，主要原因是：</w:t>
      </w:r>
      <w:r>
        <w:rPr>
          <w:rFonts w:hint="eastAsia" w:ascii="仿宋_GB2312" w:eastAsia="仿宋_GB2312"/>
          <w:sz w:val="32"/>
          <w:szCs w:val="32"/>
        </w:rPr>
        <w:t>我单位2023年度与2024年度均未安排</w:t>
      </w:r>
      <w:r>
        <w:rPr>
          <w:rFonts w:ascii="仿宋_GB2312" w:eastAsia="仿宋_GB2312"/>
          <w:sz w:val="32"/>
          <w:szCs w:val="32"/>
        </w:rPr>
        <w:t>因公出国（境）费支出；公务用车购置及运行维护费支出0.00万元，占0.00%，与上年相比无变化，主要原因是：</w:t>
      </w:r>
      <w:r>
        <w:rPr>
          <w:rFonts w:hint="eastAsia" w:ascii="仿宋_GB2312" w:eastAsia="仿宋_GB2312"/>
          <w:sz w:val="32"/>
          <w:szCs w:val="32"/>
        </w:rPr>
        <w:t>我单位2023年度与2024年度均未安排公务用车购置费</w:t>
      </w:r>
      <w:r>
        <w:rPr>
          <w:rFonts w:hint="eastAsia" w:ascii="仿宋_GB2312" w:eastAsia="仿宋_GB2312"/>
          <w:sz w:val="32"/>
          <w:szCs w:val="32"/>
          <w:lang w:val="en-US" w:eastAsia="zh-CN"/>
        </w:rPr>
        <w:t>及</w:t>
      </w:r>
      <w:r>
        <w:rPr>
          <w:rFonts w:ascii="仿宋_GB2312" w:eastAsia="仿宋_GB2312"/>
          <w:sz w:val="32"/>
          <w:szCs w:val="32"/>
        </w:rPr>
        <w:t>运行维护费；公务接待费支出0.00万元，占0.00%，与上年相比无变化，主要原因是：</w:t>
      </w:r>
      <w:r>
        <w:rPr>
          <w:rFonts w:hint="eastAsia" w:ascii="仿宋_GB2312" w:eastAsia="仿宋_GB2312"/>
          <w:sz w:val="32"/>
          <w:szCs w:val="32"/>
        </w:rPr>
        <w:t>我单位2023年度与2024年度均未安排公务接待费</w:t>
      </w:r>
      <w:r>
        <w:rPr>
          <w:rFonts w:ascii="仿宋_GB2312" w:eastAsia="仿宋_GB2312"/>
          <w:sz w:val="32"/>
          <w:szCs w:val="32"/>
        </w:rPr>
        <w:t>。</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rPr>
          <w:rFonts w:ascii="仿宋_GB2312" w:eastAsia="仿宋_GB2312"/>
          <w:sz w:val="32"/>
          <w:szCs w:val="32"/>
        </w:rPr>
      </w:pPr>
      <w:r>
        <w:rPr>
          <w:rFonts w:ascii="仿宋_GB2312" w:eastAsia="仿宋_GB2312"/>
          <w:sz w:val="32"/>
          <w:szCs w:val="32"/>
        </w:rPr>
        <w:t>具体情况如下：</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rFonts w:ascii="仿宋_GB2312" w:eastAsia="仿宋_GB2312"/>
          <w:sz w:val="32"/>
          <w:szCs w:val="32"/>
        </w:rPr>
      </w:pPr>
      <w:r>
        <w:rPr>
          <w:rFonts w:ascii="仿宋_GB2312" w:eastAsia="仿宋_GB2312"/>
          <w:sz w:val="32"/>
          <w:szCs w:val="32"/>
        </w:rPr>
        <w:t>因公出国（境）费支出0.00万元，开支内容包括。单位全年安排的因公出国（境）团组0个，因公出国（境）0人次。</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rFonts w:ascii="仿宋_GB2312" w:eastAsia="仿宋_GB2312"/>
          <w:sz w:val="32"/>
          <w:szCs w:val="32"/>
        </w:rPr>
      </w:pPr>
      <w:r>
        <w:rPr>
          <w:rFonts w:ascii="仿宋_GB2312" w:eastAsia="仿宋_GB2312"/>
          <w:sz w:val="32"/>
          <w:szCs w:val="32"/>
        </w:rPr>
        <w:t>公务用车购置及运行维护费0.00万元，其中：公务用车购置费0.00万元，公务用车运行维护费0.00万元。公务用车运行维护费开支内容包括。公务用车购置数0辆，公务用车保有量0辆。国有资产占用情况中固定资产车辆0辆，与公务用车保有量差异原因是：。</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rFonts w:ascii="仿宋_GB2312" w:eastAsia="仿宋_GB2312"/>
          <w:sz w:val="32"/>
          <w:szCs w:val="32"/>
        </w:rPr>
      </w:pPr>
      <w:r>
        <w:rPr>
          <w:rFonts w:ascii="仿宋_GB2312" w:eastAsia="仿宋_GB2312"/>
          <w:sz w:val="32"/>
          <w:szCs w:val="32"/>
        </w:rPr>
        <w:t>公务接待费0.00万元，开支内容包括。单位全年安排的国内公务接待0批次，0人次。</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rFonts w:ascii="仿宋_GB2312" w:eastAsia="仿宋_GB2312"/>
          <w:sz w:val="32"/>
          <w:szCs w:val="32"/>
        </w:rPr>
      </w:pPr>
      <w:r>
        <w:rPr>
          <w:rFonts w:ascii="仿宋_GB2312" w:eastAsia="仿宋_GB2312"/>
          <w:sz w:val="32"/>
          <w:szCs w:val="32"/>
        </w:rPr>
        <w:t>与全年预算相比，财政拨款“三公”经费支出全年预算数0.00万元，决算数0.00万元，预决算差异率0.00%，主要原因是：</w:t>
      </w:r>
      <w:r>
        <w:rPr>
          <w:rFonts w:hint="eastAsia" w:ascii="仿宋_GB2312" w:eastAsia="仿宋_GB2312"/>
          <w:sz w:val="32"/>
          <w:szCs w:val="32"/>
          <w:lang w:val="en-US" w:eastAsia="zh-CN"/>
        </w:rPr>
        <w:t>我单位未安排</w:t>
      </w:r>
      <w:r>
        <w:rPr>
          <w:rFonts w:ascii="仿宋_GB2312" w:eastAsia="仿宋_GB2312"/>
          <w:sz w:val="32"/>
          <w:szCs w:val="32"/>
        </w:rPr>
        <w:t>三公”经费支出。其中：因公出国（境）费全年预算数0.00万元，决算数0.00万元，预决算差异率0.00%，主要原因是：</w:t>
      </w:r>
      <w:r>
        <w:rPr>
          <w:rFonts w:hint="eastAsia" w:ascii="仿宋_GB2312" w:eastAsia="仿宋_GB2312"/>
          <w:sz w:val="32"/>
          <w:szCs w:val="32"/>
          <w:lang w:val="en-US" w:eastAsia="zh-CN"/>
        </w:rPr>
        <w:t>我单位未安排</w:t>
      </w:r>
      <w:r>
        <w:rPr>
          <w:rFonts w:ascii="仿宋_GB2312" w:eastAsia="仿宋_GB2312"/>
          <w:sz w:val="32"/>
          <w:szCs w:val="32"/>
        </w:rPr>
        <w:t>因公出国（境）费；公务用车购置费全年预算数0.00万元，决算数0.00万元，预决算差异率0.00%，主要原因是：</w:t>
      </w:r>
      <w:r>
        <w:rPr>
          <w:rFonts w:hint="eastAsia" w:ascii="仿宋_GB2312" w:eastAsia="仿宋_GB2312"/>
          <w:sz w:val="32"/>
          <w:szCs w:val="32"/>
          <w:lang w:val="en-US" w:eastAsia="zh-CN"/>
        </w:rPr>
        <w:t>我单位未安排</w:t>
      </w:r>
      <w:r>
        <w:rPr>
          <w:rFonts w:ascii="仿宋_GB2312" w:eastAsia="仿宋_GB2312"/>
          <w:sz w:val="32"/>
          <w:szCs w:val="32"/>
        </w:rPr>
        <w:t>公务用车购置费；公务用车运行维护费全年预算数0.00万元，决算数0.00万元，预决算差异率0.00%，主要原因是：</w:t>
      </w:r>
      <w:r>
        <w:rPr>
          <w:rFonts w:hint="eastAsia" w:ascii="仿宋_GB2312" w:eastAsia="仿宋_GB2312"/>
          <w:sz w:val="32"/>
          <w:szCs w:val="32"/>
          <w:lang w:val="en-US" w:eastAsia="zh-CN"/>
        </w:rPr>
        <w:t>我单位未安排</w:t>
      </w:r>
      <w:r>
        <w:rPr>
          <w:rFonts w:ascii="仿宋_GB2312" w:eastAsia="仿宋_GB2312"/>
          <w:sz w:val="32"/>
          <w:szCs w:val="32"/>
        </w:rPr>
        <w:t>公务用车运行维护费；公务接待费全年预算数0.00万元，决算数0.00万元，预决算差异率0.00%，主要原因是：</w:t>
      </w:r>
      <w:r>
        <w:rPr>
          <w:rFonts w:hint="eastAsia" w:ascii="仿宋_GB2312" w:eastAsia="仿宋_GB2312"/>
          <w:sz w:val="32"/>
          <w:szCs w:val="32"/>
          <w:lang w:val="en-US" w:eastAsia="zh-CN"/>
        </w:rPr>
        <w:t>我单位未安排</w:t>
      </w:r>
      <w:r>
        <w:rPr>
          <w:rFonts w:ascii="仿宋_GB2312" w:eastAsia="仿宋_GB2312"/>
          <w:sz w:val="32"/>
          <w:szCs w:val="32"/>
        </w:rPr>
        <w:t>公务接待费。</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outlineLvl w:val="1"/>
        <w:rPr>
          <w:rFonts w:ascii="黑体" w:eastAsia="黑体"/>
          <w:sz w:val="32"/>
          <w:szCs w:val="32"/>
        </w:rPr>
      </w:pPr>
      <w:r>
        <w:rPr>
          <w:rFonts w:ascii="黑体" w:eastAsia="黑体"/>
          <w:sz w:val="32"/>
          <w:szCs w:val="32"/>
        </w:rPr>
        <w:t>十、其他重要事项的情况说明</w:t>
      </w:r>
    </w:p>
    <w:p>
      <w:pPr>
        <w:keepNext w:val="0"/>
        <w:keepLines w:val="0"/>
        <w:pageBreakBefore w:val="0"/>
        <w:widowControl/>
        <w:kinsoku/>
        <w:wordWrap/>
        <w:overflowPunct/>
        <w:topLinePunct w:val="0"/>
        <w:autoSpaceDE/>
        <w:autoSpaceDN/>
        <w:bidi w:val="0"/>
        <w:adjustRightInd/>
        <w:snapToGrid/>
        <w:spacing w:after="0" w:line="560" w:lineRule="exact"/>
        <w:ind w:firstLine="643" w:firstLineChars="200"/>
        <w:textAlignment w:val="auto"/>
        <w:outlineLvl w:val="2"/>
        <w:rPr>
          <w:rFonts w:ascii="黑体" w:eastAsia="黑体"/>
          <w:sz w:val="32"/>
          <w:szCs w:val="32"/>
        </w:rPr>
      </w:pPr>
      <w:r>
        <w:rPr>
          <w:rFonts w:ascii="黑体" w:eastAsia="黑体"/>
          <w:b/>
          <w:sz w:val="32"/>
          <w:szCs w:val="32"/>
        </w:rPr>
        <w:t>（一）机关运行经费及公用经费支出情况</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rFonts w:ascii="仿宋_GB2312" w:eastAsia="仿宋_GB2312"/>
          <w:sz w:val="32"/>
          <w:szCs w:val="32"/>
        </w:rPr>
      </w:pPr>
      <w:r>
        <w:rPr>
          <w:rFonts w:ascii="仿宋_GB2312" w:eastAsia="仿宋_GB2312"/>
          <w:sz w:val="32"/>
          <w:szCs w:val="32"/>
        </w:rPr>
        <w:t>2024年度新疆维吾尔自治区广播电视研究所单位（事业单位）公用经费支出0.40万元，比上年增加0.40万元，增长100%，主要原因是：</w:t>
      </w:r>
      <w:r>
        <w:rPr>
          <w:rFonts w:hint="eastAsia" w:ascii="仿宋_GB2312" w:eastAsia="仿宋_GB2312"/>
          <w:sz w:val="32"/>
          <w:szCs w:val="32"/>
          <w:lang w:val="en-US" w:eastAsia="zh-CN"/>
        </w:rPr>
        <w:t>本年度新增</w:t>
      </w:r>
      <w:r>
        <w:rPr>
          <w:rFonts w:ascii="仿宋_GB2312" w:eastAsia="仿宋_GB2312"/>
          <w:sz w:val="32"/>
          <w:szCs w:val="32"/>
        </w:rPr>
        <w:t>离退休人员活动费。</w:t>
      </w:r>
    </w:p>
    <w:p>
      <w:pPr>
        <w:keepNext w:val="0"/>
        <w:keepLines w:val="0"/>
        <w:pageBreakBefore w:val="0"/>
        <w:widowControl/>
        <w:kinsoku/>
        <w:wordWrap/>
        <w:overflowPunct/>
        <w:topLinePunct w:val="0"/>
        <w:autoSpaceDE/>
        <w:autoSpaceDN/>
        <w:bidi w:val="0"/>
        <w:adjustRightInd/>
        <w:snapToGrid/>
        <w:spacing w:after="0" w:line="560" w:lineRule="exact"/>
        <w:ind w:firstLine="643" w:firstLineChars="200"/>
        <w:textAlignment w:val="auto"/>
        <w:outlineLvl w:val="2"/>
        <w:rPr>
          <w:rFonts w:ascii="黑体" w:eastAsia="黑体"/>
          <w:sz w:val="32"/>
          <w:szCs w:val="32"/>
        </w:rPr>
      </w:pPr>
      <w:r>
        <w:rPr>
          <w:rFonts w:ascii="黑体" w:eastAsia="黑体"/>
          <w:b/>
          <w:sz w:val="32"/>
          <w:szCs w:val="32"/>
        </w:rPr>
        <w:t>（二）政府采购情况</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rFonts w:ascii="仿宋_GB2312" w:eastAsia="仿宋_GB2312"/>
          <w:sz w:val="32"/>
          <w:szCs w:val="32"/>
        </w:rPr>
      </w:pPr>
      <w:r>
        <w:rPr>
          <w:rFonts w:ascii="仿宋_GB2312" w:eastAsia="仿宋_GB2312"/>
          <w:sz w:val="32"/>
          <w:szCs w:val="32"/>
        </w:rPr>
        <w:t>2024年度政府采购支出总额0.00万元，其中：政府采购货物支出0.00万元、政府采购工程支出0.00万元、政府采购服务支出0.00万元。</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rFonts w:ascii="仿宋_GB2312" w:eastAsia="仿宋_GB2312"/>
          <w:sz w:val="32"/>
          <w:szCs w:val="32"/>
        </w:rPr>
      </w:pPr>
      <w:r>
        <w:rPr>
          <w:rFonts w:ascii="仿宋_GB2312" w:eastAsia="仿宋_GB2312"/>
          <w:sz w:val="32"/>
          <w:szCs w:val="32"/>
        </w:rPr>
        <w:t>授予中小企业合同金额0.00万元，占政府采购支出总额的0.00%，其中：授予小微企业合同金额0.00万元，占政府采购支出总额的0.00%。</w:t>
      </w:r>
    </w:p>
    <w:p>
      <w:pPr>
        <w:keepNext w:val="0"/>
        <w:keepLines w:val="0"/>
        <w:pageBreakBefore w:val="0"/>
        <w:widowControl/>
        <w:kinsoku/>
        <w:wordWrap/>
        <w:overflowPunct/>
        <w:topLinePunct w:val="0"/>
        <w:autoSpaceDE/>
        <w:autoSpaceDN/>
        <w:bidi w:val="0"/>
        <w:adjustRightInd/>
        <w:snapToGrid/>
        <w:spacing w:after="0" w:line="560" w:lineRule="exact"/>
        <w:ind w:firstLine="643" w:firstLineChars="200"/>
        <w:textAlignment w:val="auto"/>
        <w:outlineLvl w:val="2"/>
        <w:rPr>
          <w:rFonts w:ascii="黑体" w:eastAsia="黑体"/>
          <w:sz w:val="32"/>
          <w:szCs w:val="32"/>
        </w:rPr>
      </w:pPr>
      <w:r>
        <w:rPr>
          <w:rFonts w:ascii="黑体" w:eastAsia="黑体"/>
          <w:b/>
          <w:sz w:val="32"/>
          <w:szCs w:val="32"/>
        </w:rPr>
        <w:t>（三）国有资产占用情况说明</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rFonts w:ascii="仿宋_GB2312" w:eastAsia="仿宋_GB2312"/>
          <w:sz w:val="32"/>
          <w:szCs w:val="32"/>
        </w:rPr>
      </w:pPr>
      <w:r>
        <w:rPr>
          <w:rFonts w:ascii="仿宋_GB2312" w:eastAsia="仿宋_GB2312"/>
          <w:sz w:val="32"/>
          <w:szCs w:val="32"/>
        </w:rPr>
        <w:t>截至2024年12月31日，房屋1,172.73平方米，价值882.46万元。车辆0辆，价值0.00万元，其中：副部（省）级及以上领导用车0辆、主要负责人用车0辆、机要通信用车0辆、应急保障用车0辆、执法执勤用车0辆、特种专业技术用车0辆、离退休干部服务用车0辆、其他用车0辆，其他用车主要是：;单价100万元（含）以上设备（不含车辆）0台。</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outlineLvl w:val="1"/>
        <w:rPr>
          <w:rFonts w:ascii="黑体" w:eastAsia="黑体"/>
          <w:sz w:val="32"/>
          <w:szCs w:val="32"/>
        </w:rPr>
      </w:pPr>
      <w:r>
        <w:rPr>
          <w:rFonts w:ascii="黑体" w:eastAsia="黑体"/>
          <w:sz w:val="32"/>
          <w:szCs w:val="32"/>
        </w:rPr>
        <w:t>十一、预算绩效的情况说明</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rFonts w:ascii="仿宋_GB2312" w:eastAsia="仿宋_GB2312"/>
          <w:sz w:val="32"/>
          <w:szCs w:val="32"/>
        </w:rPr>
      </w:pPr>
      <w:r>
        <w:rPr>
          <w:rFonts w:ascii="仿宋_GB2312" w:eastAsia="仿宋_GB2312"/>
          <w:sz w:val="32"/>
          <w:szCs w:val="32"/>
        </w:rPr>
        <w:t>根据预算绩效管理要求，本单位2024年度预算绩效管理取得的成效：</w:t>
      </w:r>
      <w:r>
        <w:rPr>
          <w:rFonts w:hint="eastAsia" w:ascii="仿宋_GB2312" w:eastAsia="仿宋_GB2312"/>
          <w:sz w:val="32"/>
          <w:szCs w:val="32"/>
          <w:lang w:val="en-US" w:eastAsia="zh-CN"/>
        </w:rPr>
        <w:t>我单位无项目绩效</w:t>
      </w:r>
      <w:r>
        <w:rPr>
          <w:rFonts w:ascii="仿宋_GB2312" w:eastAsia="仿宋_GB2312"/>
          <w:sz w:val="32"/>
          <w:szCs w:val="32"/>
        </w:rPr>
        <w:t>。发现的问题及原因：</w:t>
      </w:r>
      <w:r>
        <w:rPr>
          <w:rFonts w:hint="eastAsia" w:ascii="仿宋_GB2312" w:eastAsia="仿宋_GB2312"/>
          <w:sz w:val="32"/>
          <w:szCs w:val="32"/>
          <w:lang w:val="en-US" w:eastAsia="zh-CN"/>
        </w:rPr>
        <w:t>我单位无项目绩效</w:t>
      </w:r>
      <w:r>
        <w:rPr>
          <w:rFonts w:ascii="仿宋_GB2312" w:eastAsia="仿宋_GB2312"/>
          <w:sz w:val="32"/>
          <w:szCs w:val="32"/>
        </w:rPr>
        <w:t>。下一步改进措施：</w:t>
      </w:r>
      <w:r>
        <w:rPr>
          <w:rFonts w:hint="eastAsia" w:ascii="仿宋_GB2312" w:eastAsia="仿宋_GB2312"/>
          <w:sz w:val="32"/>
          <w:szCs w:val="32"/>
          <w:lang w:val="en-US" w:eastAsia="zh-CN"/>
        </w:rPr>
        <w:t>我单位无项目绩效</w:t>
      </w:r>
      <w:r>
        <w:rPr>
          <w:rFonts w:ascii="仿宋_GB2312" w:eastAsia="仿宋_GB2312"/>
          <w:sz w:val="32"/>
          <w:szCs w:val="32"/>
        </w:rPr>
        <w:t>。具体附部门整体支出绩效自评表，项目支出绩效自评表和部门评价报告。</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outlineLvl w:val="1"/>
        <w:rPr>
          <w:rFonts w:ascii="黑体" w:eastAsia="黑体"/>
          <w:sz w:val="32"/>
          <w:szCs w:val="32"/>
        </w:rPr>
      </w:pPr>
      <w:r>
        <w:rPr>
          <w:rFonts w:ascii="黑体" w:eastAsia="黑体"/>
          <w:sz w:val="32"/>
          <w:szCs w:val="32"/>
        </w:rPr>
        <w:t>十二、其他需说明的事项</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2024年度本单位政府采购支出总额为0.00万元，授予中小企业合同金额、授予小微企业合同金额0.00万元。</w:t>
      </w:r>
      <w:bookmarkStart w:id="0" w:name="_GoBack"/>
      <w:bookmarkEnd w:id="0"/>
    </w:p>
    <w:p>
      <w:pPr>
        <w:keepNext w:val="0"/>
        <w:keepLines w:val="0"/>
        <w:pageBreakBefore w:val="0"/>
        <w:widowControl/>
        <w:kinsoku/>
        <w:wordWrap/>
        <w:overflowPunct/>
        <w:topLinePunct w:val="0"/>
        <w:autoSpaceDE/>
        <w:autoSpaceDN/>
        <w:bidi w:val="0"/>
        <w:adjustRightInd/>
        <w:snapToGrid/>
        <w:spacing w:line="560" w:lineRule="exact"/>
        <w:textAlignment w:val="auto"/>
      </w:pPr>
      <w:r>
        <w:rPr>
          <w:sz w:val="0"/>
          <w:szCs w:val="0"/>
        </w:rPr>
        <w:br w:type="page"/>
      </w:r>
    </w:p>
    <w:p>
      <w:pPr>
        <w:keepNext w:val="0"/>
        <w:keepLines w:val="0"/>
        <w:pageBreakBefore w:val="0"/>
        <w:widowControl/>
        <w:kinsoku/>
        <w:wordWrap/>
        <w:overflowPunct/>
        <w:topLinePunct w:val="0"/>
        <w:autoSpaceDE/>
        <w:autoSpaceDN/>
        <w:bidi w:val="0"/>
        <w:adjustRightInd/>
        <w:snapToGrid/>
        <w:spacing w:after="0" w:line="560" w:lineRule="exact"/>
        <w:jc w:val="center"/>
        <w:textAlignment w:val="auto"/>
        <w:outlineLvl w:val="0"/>
        <w:rPr>
          <w:rFonts w:ascii="黑体" w:eastAsia="黑体"/>
          <w:sz w:val="32"/>
          <w:szCs w:val="32"/>
        </w:rPr>
      </w:pPr>
      <w:r>
        <w:rPr>
          <w:rFonts w:ascii="黑体" w:eastAsia="黑体"/>
          <w:sz w:val="32"/>
          <w:szCs w:val="32"/>
        </w:rPr>
        <w:t>第三部分 专业名词解释</w:t>
      </w:r>
    </w:p>
    <w:p>
      <w:pPr>
        <w:keepNext w:val="0"/>
        <w:keepLines w:val="0"/>
        <w:pageBreakBefore w:val="0"/>
        <w:widowControl/>
        <w:kinsoku/>
        <w:wordWrap/>
        <w:overflowPunct/>
        <w:topLinePunct w:val="0"/>
        <w:autoSpaceDE/>
        <w:autoSpaceDN/>
        <w:bidi w:val="0"/>
        <w:adjustRightInd/>
        <w:snapToGrid/>
        <w:spacing w:after="0" w:line="560" w:lineRule="exact"/>
        <w:ind w:firstLine="643" w:firstLineChars="200"/>
        <w:textAlignment w:val="auto"/>
        <w:rPr>
          <w:rFonts w:ascii="仿宋_GB2312" w:eastAsia="仿宋_GB2312"/>
          <w:sz w:val="32"/>
          <w:szCs w:val="32"/>
        </w:rPr>
      </w:pPr>
      <w:r>
        <w:rPr>
          <w:rFonts w:ascii="仿宋_GB2312" w:eastAsia="仿宋_GB2312"/>
          <w:b/>
          <w:sz w:val="32"/>
          <w:szCs w:val="32"/>
        </w:rPr>
        <w:t>一、财政拨款收入：</w:t>
      </w:r>
      <w:r>
        <w:rPr>
          <w:rFonts w:ascii="仿宋_GB2312" w:eastAsia="仿宋_GB2312"/>
          <w:sz w:val="32"/>
          <w:szCs w:val="32"/>
        </w:rPr>
        <w:t>指同级财政当年拨付的资金。</w:t>
      </w:r>
    </w:p>
    <w:p>
      <w:pPr>
        <w:keepNext w:val="0"/>
        <w:keepLines w:val="0"/>
        <w:pageBreakBefore w:val="0"/>
        <w:widowControl/>
        <w:kinsoku/>
        <w:wordWrap/>
        <w:overflowPunct/>
        <w:topLinePunct w:val="0"/>
        <w:autoSpaceDE/>
        <w:autoSpaceDN/>
        <w:bidi w:val="0"/>
        <w:adjustRightInd/>
        <w:snapToGrid/>
        <w:spacing w:after="0" w:line="560" w:lineRule="exact"/>
        <w:ind w:firstLine="643" w:firstLineChars="200"/>
        <w:textAlignment w:val="auto"/>
        <w:rPr>
          <w:rFonts w:ascii="仿宋_GB2312" w:eastAsia="仿宋_GB2312"/>
          <w:sz w:val="32"/>
          <w:szCs w:val="32"/>
        </w:rPr>
      </w:pPr>
      <w:r>
        <w:rPr>
          <w:rFonts w:ascii="仿宋_GB2312" w:eastAsia="仿宋_GB2312"/>
          <w:b/>
          <w:sz w:val="32"/>
          <w:szCs w:val="32"/>
        </w:rPr>
        <w:t>二、上级补助收入：</w:t>
      </w:r>
      <w:r>
        <w:rPr>
          <w:rFonts w:ascii="仿宋_GB2312" w:eastAsia="仿宋_GB2312"/>
          <w:sz w:val="32"/>
          <w:szCs w:val="32"/>
        </w:rPr>
        <w:t>指事业单位从主管部门和上级单位取得的非财政补助收入。</w:t>
      </w:r>
    </w:p>
    <w:p>
      <w:pPr>
        <w:keepNext w:val="0"/>
        <w:keepLines w:val="0"/>
        <w:pageBreakBefore w:val="0"/>
        <w:widowControl/>
        <w:kinsoku/>
        <w:wordWrap/>
        <w:overflowPunct/>
        <w:topLinePunct w:val="0"/>
        <w:autoSpaceDE/>
        <w:autoSpaceDN/>
        <w:bidi w:val="0"/>
        <w:adjustRightInd/>
        <w:snapToGrid/>
        <w:spacing w:after="0" w:line="560" w:lineRule="exact"/>
        <w:ind w:firstLine="643" w:firstLineChars="200"/>
        <w:textAlignment w:val="auto"/>
        <w:rPr>
          <w:rFonts w:ascii="仿宋_GB2312" w:eastAsia="仿宋_GB2312"/>
          <w:sz w:val="32"/>
          <w:szCs w:val="32"/>
        </w:rPr>
      </w:pPr>
      <w:r>
        <w:rPr>
          <w:rFonts w:ascii="仿宋_GB2312" w:eastAsia="仿宋_GB2312"/>
          <w:b/>
          <w:sz w:val="32"/>
          <w:szCs w:val="32"/>
        </w:rPr>
        <w:t>三、事业收入：</w:t>
      </w:r>
      <w:r>
        <w:rPr>
          <w:rFonts w:ascii="仿宋_GB2312" w:eastAsia="仿宋_GB2312"/>
          <w:sz w:val="32"/>
          <w:szCs w:val="32"/>
        </w:rPr>
        <w:t>指事业单位开展专业业务活动及其辅助活动所取得的收入。</w:t>
      </w:r>
    </w:p>
    <w:p>
      <w:pPr>
        <w:keepNext w:val="0"/>
        <w:keepLines w:val="0"/>
        <w:pageBreakBefore w:val="0"/>
        <w:widowControl/>
        <w:kinsoku/>
        <w:wordWrap/>
        <w:overflowPunct/>
        <w:topLinePunct w:val="0"/>
        <w:autoSpaceDE/>
        <w:autoSpaceDN/>
        <w:bidi w:val="0"/>
        <w:adjustRightInd/>
        <w:snapToGrid/>
        <w:spacing w:after="0" w:line="560" w:lineRule="exact"/>
        <w:ind w:firstLine="643" w:firstLineChars="200"/>
        <w:textAlignment w:val="auto"/>
        <w:rPr>
          <w:rFonts w:ascii="仿宋_GB2312" w:eastAsia="仿宋_GB2312"/>
          <w:sz w:val="32"/>
          <w:szCs w:val="32"/>
        </w:rPr>
      </w:pPr>
      <w:r>
        <w:rPr>
          <w:rFonts w:ascii="仿宋_GB2312" w:eastAsia="仿宋_GB2312"/>
          <w:b/>
          <w:sz w:val="32"/>
          <w:szCs w:val="32"/>
        </w:rPr>
        <w:t>四、经营收入：</w:t>
      </w:r>
      <w:r>
        <w:rPr>
          <w:rFonts w:ascii="仿宋_GB2312" w:eastAsia="仿宋_GB2312"/>
          <w:sz w:val="32"/>
          <w:szCs w:val="32"/>
        </w:rPr>
        <w:t>指事业单位在专业业务活动及其辅助活动之外开展非独立核算经营活动取得的收入。</w:t>
      </w:r>
    </w:p>
    <w:p>
      <w:pPr>
        <w:keepNext w:val="0"/>
        <w:keepLines w:val="0"/>
        <w:pageBreakBefore w:val="0"/>
        <w:widowControl/>
        <w:kinsoku/>
        <w:wordWrap/>
        <w:overflowPunct/>
        <w:topLinePunct w:val="0"/>
        <w:autoSpaceDE/>
        <w:autoSpaceDN/>
        <w:bidi w:val="0"/>
        <w:adjustRightInd/>
        <w:snapToGrid/>
        <w:spacing w:after="0" w:line="560" w:lineRule="exact"/>
        <w:ind w:firstLine="643" w:firstLineChars="200"/>
        <w:textAlignment w:val="auto"/>
        <w:rPr>
          <w:rFonts w:ascii="仿宋_GB2312" w:eastAsia="仿宋_GB2312"/>
          <w:sz w:val="32"/>
          <w:szCs w:val="32"/>
        </w:rPr>
      </w:pPr>
      <w:r>
        <w:rPr>
          <w:rFonts w:ascii="仿宋_GB2312" w:eastAsia="仿宋_GB2312"/>
          <w:b/>
          <w:sz w:val="32"/>
          <w:szCs w:val="32"/>
        </w:rPr>
        <w:t>五、附属单位上缴收入：</w:t>
      </w:r>
      <w:r>
        <w:rPr>
          <w:rFonts w:ascii="仿宋_GB2312" w:eastAsia="仿宋_GB2312"/>
          <w:sz w:val="32"/>
          <w:szCs w:val="32"/>
        </w:rPr>
        <w:t>指事业单位附属的独立核算单位按有关规定上缴的收入。</w:t>
      </w:r>
    </w:p>
    <w:p>
      <w:pPr>
        <w:keepNext w:val="0"/>
        <w:keepLines w:val="0"/>
        <w:pageBreakBefore w:val="0"/>
        <w:widowControl/>
        <w:kinsoku/>
        <w:wordWrap/>
        <w:overflowPunct/>
        <w:topLinePunct w:val="0"/>
        <w:autoSpaceDE/>
        <w:autoSpaceDN/>
        <w:bidi w:val="0"/>
        <w:adjustRightInd/>
        <w:snapToGrid/>
        <w:spacing w:after="0" w:line="560" w:lineRule="exact"/>
        <w:ind w:firstLine="643" w:firstLineChars="200"/>
        <w:textAlignment w:val="auto"/>
        <w:rPr>
          <w:rFonts w:ascii="仿宋_GB2312" w:eastAsia="仿宋_GB2312"/>
          <w:sz w:val="32"/>
          <w:szCs w:val="32"/>
        </w:rPr>
      </w:pPr>
      <w:r>
        <w:rPr>
          <w:rFonts w:ascii="仿宋_GB2312" w:eastAsia="仿宋_GB2312"/>
          <w:b/>
          <w:sz w:val="32"/>
          <w:szCs w:val="32"/>
        </w:rPr>
        <w:t>六、其他收入：</w:t>
      </w:r>
      <w:r>
        <w:rPr>
          <w:rFonts w:ascii="仿宋_GB2312" w:eastAsia="仿宋_GB2312"/>
          <w:sz w:val="32"/>
          <w:szCs w:val="32"/>
        </w:rPr>
        <w:t>指除上述“财政拨款收入”、“事业收入”、“经营收入”、“附属单位上缴收入”等之外取得的收入。</w:t>
      </w:r>
    </w:p>
    <w:p>
      <w:pPr>
        <w:keepNext w:val="0"/>
        <w:keepLines w:val="0"/>
        <w:pageBreakBefore w:val="0"/>
        <w:widowControl/>
        <w:kinsoku/>
        <w:wordWrap/>
        <w:overflowPunct/>
        <w:topLinePunct w:val="0"/>
        <w:autoSpaceDE/>
        <w:autoSpaceDN/>
        <w:bidi w:val="0"/>
        <w:adjustRightInd/>
        <w:snapToGrid/>
        <w:spacing w:after="0" w:line="560" w:lineRule="exact"/>
        <w:ind w:firstLine="643" w:firstLineChars="200"/>
        <w:textAlignment w:val="auto"/>
        <w:rPr>
          <w:rFonts w:ascii="仿宋_GB2312" w:eastAsia="仿宋_GB2312"/>
          <w:sz w:val="32"/>
          <w:szCs w:val="32"/>
        </w:rPr>
      </w:pPr>
      <w:r>
        <w:rPr>
          <w:rFonts w:ascii="仿宋_GB2312" w:eastAsia="仿宋_GB2312"/>
          <w:b/>
          <w:sz w:val="32"/>
          <w:szCs w:val="32"/>
        </w:rPr>
        <w:t>七、年初结转和结余：</w:t>
      </w:r>
      <w:r>
        <w:rPr>
          <w:rFonts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kinsoku/>
        <w:wordWrap/>
        <w:overflowPunct/>
        <w:topLinePunct w:val="0"/>
        <w:autoSpaceDE/>
        <w:autoSpaceDN/>
        <w:bidi w:val="0"/>
        <w:adjustRightInd/>
        <w:snapToGrid/>
        <w:spacing w:after="0" w:line="560" w:lineRule="exact"/>
        <w:ind w:firstLine="643" w:firstLineChars="200"/>
        <w:textAlignment w:val="auto"/>
        <w:rPr>
          <w:rFonts w:ascii="仿宋_GB2312" w:eastAsia="仿宋_GB2312"/>
          <w:sz w:val="32"/>
          <w:szCs w:val="32"/>
        </w:rPr>
      </w:pPr>
      <w:r>
        <w:rPr>
          <w:rFonts w:ascii="仿宋_GB2312" w:eastAsia="仿宋_GB2312"/>
          <w:b/>
          <w:sz w:val="32"/>
          <w:szCs w:val="32"/>
        </w:rPr>
        <w:t>八、年末结转和结余：</w:t>
      </w:r>
      <w:r>
        <w:rPr>
          <w:rFonts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kinsoku/>
        <w:wordWrap/>
        <w:overflowPunct/>
        <w:topLinePunct w:val="0"/>
        <w:autoSpaceDE/>
        <w:autoSpaceDN/>
        <w:bidi w:val="0"/>
        <w:adjustRightInd/>
        <w:snapToGrid/>
        <w:spacing w:after="0" w:line="560" w:lineRule="exact"/>
        <w:ind w:firstLine="643" w:firstLineChars="200"/>
        <w:textAlignment w:val="auto"/>
        <w:rPr>
          <w:rFonts w:ascii="仿宋_GB2312" w:eastAsia="仿宋_GB2312"/>
          <w:sz w:val="32"/>
          <w:szCs w:val="32"/>
        </w:rPr>
      </w:pPr>
      <w:r>
        <w:rPr>
          <w:rFonts w:ascii="仿宋_GB2312" w:eastAsia="仿宋_GB2312"/>
          <w:b/>
          <w:sz w:val="32"/>
          <w:szCs w:val="32"/>
        </w:rPr>
        <w:t>九、基本支出：</w:t>
      </w:r>
      <w:r>
        <w:rPr>
          <w:rFonts w:ascii="仿宋_GB2312" w:eastAsia="仿宋_GB2312"/>
          <w:sz w:val="32"/>
          <w:szCs w:val="32"/>
        </w:rPr>
        <w:t>指为保障机构正常运转、完成日常工作任务而发生的人员支出和公用支出。</w:t>
      </w:r>
    </w:p>
    <w:p>
      <w:pPr>
        <w:keepNext w:val="0"/>
        <w:keepLines w:val="0"/>
        <w:pageBreakBefore w:val="0"/>
        <w:widowControl/>
        <w:kinsoku/>
        <w:wordWrap/>
        <w:overflowPunct/>
        <w:topLinePunct w:val="0"/>
        <w:autoSpaceDE/>
        <w:autoSpaceDN/>
        <w:bidi w:val="0"/>
        <w:adjustRightInd/>
        <w:snapToGrid/>
        <w:spacing w:after="0" w:line="560" w:lineRule="exact"/>
        <w:ind w:firstLine="643" w:firstLineChars="200"/>
        <w:textAlignment w:val="auto"/>
        <w:rPr>
          <w:rFonts w:ascii="仿宋_GB2312" w:eastAsia="仿宋_GB2312"/>
          <w:sz w:val="32"/>
          <w:szCs w:val="32"/>
        </w:rPr>
      </w:pPr>
      <w:r>
        <w:rPr>
          <w:rFonts w:ascii="仿宋_GB2312" w:eastAsia="仿宋_GB2312"/>
          <w:b/>
          <w:sz w:val="32"/>
          <w:szCs w:val="32"/>
        </w:rPr>
        <w:t>十、项目支出：</w:t>
      </w:r>
      <w:r>
        <w:rPr>
          <w:rFonts w:ascii="仿宋_GB2312" w:eastAsia="仿宋_GB2312"/>
          <w:sz w:val="32"/>
          <w:szCs w:val="32"/>
        </w:rPr>
        <w:t>指在基本支出之外为完成特定行政任务和事业发展目标所发生的支出。</w:t>
      </w:r>
    </w:p>
    <w:p>
      <w:pPr>
        <w:keepNext w:val="0"/>
        <w:keepLines w:val="0"/>
        <w:pageBreakBefore w:val="0"/>
        <w:widowControl/>
        <w:kinsoku/>
        <w:wordWrap/>
        <w:overflowPunct/>
        <w:topLinePunct w:val="0"/>
        <w:autoSpaceDE/>
        <w:autoSpaceDN/>
        <w:bidi w:val="0"/>
        <w:adjustRightInd/>
        <w:snapToGrid/>
        <w:spacing w:after="0" w:line="560" w:lineRule="exact"/>
        <w:ind w:firstLine="643" w:firstLineChars="200"/>
        <w:textAlignment w:val="auto"/>
        <w:rPr>
          <w:rFonts w:ascii="仿宋_GB2312" w:eastAsia="仿宋_GB2312"/>
          <w:sz w:val="32"/>
          <w:szCs w:val="32"/>
        </w:rPr>
      </w:pPr>
      <w:r>
        <w:rPr>
          <w:rFonts w:ascii="仿宋_GB2312" w:eastAsia="仿宋_GB2312"/>
          <w:b/>
          <w:sz w:val="32"/>
          <w:szCs w:val="32"/>
        </w:rPr>
        <w:t>十一、经营支出：</w:t>
      </w:r>
      <w:r>
        <w:rPr>
          <w:rFonts w:ascii="仿宋_GB2312" w:eastAsia="仿宋_GB2312"/>
          <w:sz w:val="32"/>
          <w:szCs w:val="32"/>
        </w:rPr>
        <w:t>指事业单位在专业业务活动及其辅助活动之外开展非独立核算经营活动发生的支出。</w:t>
      </w:r>
    </w:p>
    <w:p>
      <w:pPr>
        <w:keepNext w:val="0"/>
        <w:keepLines w:val="0"/>
        <w:pageBreakBefore w:val="0"/>
        <w:widowControl/>
        <w:kinsoku/>
        <w:wordWrap/>
        <w:overflowPunct/>
        <w:topLinePunct w:val="0"/>
        <w:autoSpaceDE/>
        <w:autoSpaceDN/>
        <w:bidi w:val="0"/>
        <w:adjustRightInd/>
        <w:snapToGrid/>
        <w:spacing w:after="0" w:line="560" w:lineRule="exact"/>
        <w:ind w:firstLine="643" w:firstLineChars="200"/>
        <w:textAlignment w:val="auto"/>
        <w:rPr>
          <w:rFonts w:ascii="仿宋_GB2312" w:eastAsia="仿宋_GB2312"/>
          <w:sz w:val="32"/>
          <w:szCs w:val="32"/>
        </w:rPr>
      </w:pPr>
      <w:r>
        <w:rPr>
          <w:rFonts w:ascii="仿宋_GB2312" w:eastAsia="仿宋_GB2312"/>
          <w:b/>
          <w:sz w:val="32"/>
          <w:szCs w:val="32"/>
        </w:rPr>
        <w:t>十二、对附属单位补助支出：</w:t>
      </w:r>
      <w:r>
        <w:rPr>
          <w:rFonts w:ascii="仿宋_GB2312" w:eastAsia="仿宋_GB2312"/>
          <w:sz w:val="32"/>
          <w:szCs w:val="32"/>
        </w:rPr>
        <w:t>指事业单位发生的用非财政预算资金对附属单位的补助支出。</w:t>
      </w:r>
    </w:p>
    <w:p>
      <w:pPr>
        <w:keepNext w:val="0"/>
        <w:keepLines w:val="0"/>
        <w:pageBreakBefore w:val="0"/>
        <w:widowControl/>
        <w:kinsoku/>
        <w:wordWrap/>
        <w:overflowPunct/>
        <w:topLinePunct w:val="0"/>
        <w:autoSpaceDE/>
        <w:autoSpaceDN/>
        <w:bidi w:val="0"/>
        <w:adjustRightInd/>
        <w:snapToGrid/>
        <w:spacing w:after="0" w:line="560" w:lineRule="exact"/>
        <w:ind w:firstLine="643" w:firstLineChars="200"/>
        <w:textAlignment w:val="auto"/>
        <w:rPr>
          <w:rFonts w:ascii="仿宋_GB2312" w:eastAsia="仿宋_GB2312"/>
          <w:sz w:val="32"/>
          <w:szCs w:val="32"/>
        </w:rPr>
      </w:pPr>
      <w:r>
        <w:rPr>
          <w:rFonts w:ascii="仿宋_GB2312" w:eastAsia="仿宋_GB2312"/>
          <w:b/>
          <w:sz w:val="32"/>
          <w:szCs w:val="32"/>
        </w:rPr>
        <w:t>十三、“三公”经费：</w:t>
      </w:r>
      <w:r>
        <w:rPr>
          <w:rFonts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keepNext w:val="0"/>
        <w:keepLines w:val="0"/>
        <w:pageBreakBefore w:val="0"/>
        <w:widowControl/>
        <w:kinsoku/>
        <w:wordWrap/>
        <w:overflowPunct/>
        <w:topLinePunct w:val="0"/>
        <w:autoSpaceDE/>
        <w:autoSpaceDN/>
        <w:bidi w:val="0"/>
        <w:adjustRightInd/>
        <w:snapToGrid/>
        <w:spacing w:after="0" w:line="560" w:lineRule="exact"/>
        <w:ind w:firstLine="643" w:firstLineChars="200"/>
        <w:textAlignment w:val="auto"/>
        <w:rPr>
          <w:rFonts w:ascii="仿宋_GB2312" w:eastAsia="仿宋_GB2312"/>
          <w:sz w:val="32"/>
          <w:szCs w:val="32"/>
        </w:rPr>
      </w:pPr>
      <w:r>
        <w:rPr>
          <w:rFonts w:ascii="仿宋_GB2312" w:eastAsia="仿宋_GB2312"/>
          <w:b/>
          <w:sz w:val="32"/>
          <w:szCs w:val="32"/>
        </w:rPr>
        <w:t>十四、机关运行经费：</w:t>
      </w:r>
      <w:r>
        <w:rPr>
          <w:rFonts w:ascii="仿宋_GB2312" w:eastAsia="仿宋_GB2312"/>
          <w:sz w:val="32"/>
          <w:szCs w:val="32"/>
        </w:rPr>
        <w:t>行政单位和参照公务员法管理的事业单位财政拨款基本支出中的公用经费支出。</w:t>
      </w:r>
    </w:p>
    <w:p>
      <w:pPr>
        <w:keepNext w:val="0"/>
        <w:keepLines w:val="0"/>
        <w:pageBreakBefore w:val="0"/>
        <w:widowControl/>
        <w:kinsoku/>
        <w:wordWrap/>
        <w:overflowPunct/>
        <w:topLinePunct w:val="0"/>
        <w:autoSpaceDE/>
        <w:autoSpaceDN/>
        <w:bidi w:val="0"/>
        <w:adjustRightInd/>
        <w:snapToGrid/>
        <w:spacing w:line="560" w:lineRule="exact"/>
        <w:textAlignment w:val="auto"/>
      </w:pPr>
      <w:r>
        <w:rPr>
          <w:sz w:val="0"/>
          <w:szCs w:val="0"/>
        </w:rPr>
        <w:br w:type="page"/>
      </w:r>
    </w:p>
    <w:p>
      <w:pPr>
        <w:keepNext w:val="0"/>
        <w:keepLines w:val="0"/>
        <w:pageBreakBefore w:val="0"/>
        <w:widowControl/>
        <w:kinsoku/>
        <w:wordWrap/>
        <w:overflowPunct/>
        <w:topLinePunct w:val="0"/>
        <w:autoSpaceDE/>
        <w:autoSpaceDN/>
        <w:bidi w:val="0"/>
        <w:adjustRightInd/>
        <w:snapToGrid/>
        <w:spacing w:after="0" w:line="560" w:lineRule="exact"/>
        <w:jc w:val="center"/>
        <w:textAlignment w:val="auto"/>
        <w:outlineLvl w:val="0"/>
        <w:rPr>
          <w:rFonts w:ascii="黑体" w:eastAsia="黑体"/>
          <w:sz w:val="32"/>
          <w:szCs w:val="32"/>
        </w:rPr>
      </w:pPr>
      <w:r>
        <w:rPr>
          <w:rFonts w:ascii="黑体" w:eastAsia="黑体"/>
          <w:sz w:val="32"/>
          <w:szCs w:val="32"/>
        </w:rPr>
        <w:t>第四部分 部门决算报表（见附表）</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outlineLvl w:val="1"/>
        <w:rPr>
          <w:rFonts w:ascii="仿宋_GB2312" w:eastAsia="仿宋_GB2312"/>
          <w:sz w:val="32"/>
          <w:szCs w:val="32"/>
        </w:rPr>
      </w:pPr>
      <w:r>
        <w:rPr>
          <w:rFonts w:ascii="仿宋_GB2312" w:eastAsia="仿宋_GB2312"/>
          <w:sz w:val="32"/>
          <w:szCs w:val="32"/>
        </w:rPr>
        <w:t>一、《收入支出决算总表》</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outlineLvl w:val="1"/>
        <w:rPr>
          <w:rFonts w:ascii="仿宋_GB2312" w:eastAsia="仿宋_GB2312"/>
          <w:sz w:val="32"/>
          <w:szCs w:val="32"/>
        </w:rPr>
      </w:pPr>
      <w:r>
        <w:rPr>
          <w:rFonts w:ascii="仿宋_GB2312" w:eastAsia="仿宋_GB2312"/>
          <w:sz w:val="32"/>
          <w:szCs w:val="32"/>
        </w:rPr>
        <w:t>二、《收入决算表》</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outlineLvl w:val="1"/>
        <w:rPr>
          <w:rFonts w:ascii="仿宋_GB2312" w:eastAsia="仿宋_GB2312"/>
          <w:sz w:val="32"/>
          <w:szCs w:val="32"/>
        </w:rPr>
      </w:pPr>
      <w:r>
        <w:rPr>
          <w:rFonts w:ascii="仿宋_GB2312" w:eastAsia="仿宋_GB2312"/>
          <w:sz w:val="32"/>
          <w:szCs w:val="32"/>
        </w:rPr>
        <w:t>三、《支出决算表》</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outlineLvl w:val="1"/>
        <w:rPr>
          <w:rFonts w:ascii="仿宋_GB2312" w:eastAsia="仿宋_GB2312"/>
          <w:sz w:val="32"/>
          <w:szCs w:val="32"/>
        </w:rPr>
      </w:pPr>
      <w:r>
        <w:rPr>
          <w:rFonts w:ascii="仿宋_GB2312" w:eastAsia="仿宋_GB2312"/>
          <w:sz w:val="32"/>
          <w:szCs w:val="32"/>
        </w:rPr>
        <w:t>四、《财政拨款收入支出决算总表》</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outlineLvl w:val="1"/>
        <w:rPr>
          <w:rFonts w:ascii="仿宋_GB2312" w:eastAsia="仿宋_GB2312"/>
          <w:sz w:val="32"/>
          <w:szCs w:val="32"/>
        </w:rPr>
      </w:pPr>
      <w:r>
        <w:rPr>
          <w:rFonts w:ascii="仿宋_GB2312" w:eastAsia="仿宋_GB2312"/>
          <w:sz w:val="32"/>
          <w:szCs w:val="32"/>
        </w:rPr>
        <w:t>五、《一般公共预算财政拨款支出决算表》</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outlineLvl w:val="1"/>
        <w:rPr>
          <w:rFonts w:ascii="仿宋_GB2312" w:eastAsia="仿宋_GB2312"/>
          <w:sz w:val="32"/>
          <w:szCs w:val="32"/>
        </w:rPr>
      </w:pPr>
      <w:r>
        <w:rPr>
          <w:rFonts w:ascii="仿宋_GB2312" w:eastAsia="仿宋_GB2312"/>
          <w:sz w:val="32"/>
          <w:szCs w:val="32"/>
        </w:rPr>
        <w:t>六、《一般公共预算财政拨款基本支出决算表》</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outlineLvl w:val="1"/>
        <w:rPr>
          <w:rFonts w:ascii="仿宋_GB2312" w:eastAsia="仿宋_GB2312"/>
          <w:sz w:val="32"/>
          <w:szCs w:val="32"/>
        </w:rPr>
      </w:pPr>
      <w:r>
        <w:rPr>
          <w:rFonts w:ascii="仿宋_GB2312" w:eastAsia="仿宋_GB2312"/>
          <w:sz w:val="32"/>
          <w:szCs w:val="32"/>
        </w:rPr>
        <w:t>七、《政府性基金预算财政拨款收入支出决算表》</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outlineLvl w:val="1"/>
        <w:rPr>
          <w:rFonts w:ascii="仿宋_GB2312" w:eastAsia="仿宋_GB2312"/>
          <w:sz w:val="32"/>
          <w:szCs w:val="32"/>
        </w:rPr>
      </w:pPr>
      <w:r>
        <w:rPr>
          <w:rFonts w:ascii="仿宋_GB2312" w:eastAsia="仿宋_GB2312"/>
          <w:sz w:val="32"/>
          <w:szCs w:val="32"/>
        </w:rPr>
        <w:t>八、《国有资本经营预算财政拨款收入支出决算表》</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outlineLvl w:val="1"/>
        <w:rPr>
          <w:rFonts w:ascii="仿宋_GB2312" w:eastAsia="仿宋_GB2312"/>
          <w:sz w:val="32"/>
          <w:szCs w:val="32"/>
        </w:rPr>
      </w:pPr>
      <w:r>
        <w:rPr>
          <w:rFonts w:ascii="仿宋_GB2312" w:eastAsia="仿宋_GB2312"/>
          <w:sz w:val="32"/>
          <w:szCs w:val="32"/>
        </w:rPr>
        <w:t>九、《财政拨款“三公”经费支出决算表》</w:t>
      </w:r>
    </w:p>
    <w:sectPr>
      <w:pgSz w:w="12240" w:h="15840"/>
      <w:pgMar w:top="1440" w:right="1800" w:bottom="1440" w:left="180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Arial Unicode MS">
    <w:panose1 w:val="020B0604020202020204"/>
    <w:charset w:val="86"/>
    <w:family w:val="auto"/>
    <w:pitch w:val="default"/>
    <w:sig w:usb0="FFFFFFFF" w:usb1="E9FFFFFF" w:usb2="0000003F" w:usb3="00000000" w:csb0="603F01FF" w:csb1="FFFF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等线 Light">
    <w:altName w:val="宋体"/>
    <w:panose1 w:val="02010600030101010101"/>
    <w:charset w:val="86"/>
    <w:family w:val="auto"/>
    <w:pitch w:val="default"/>
    <w:sig w:usb0="00000000" w:usb1="00000000" w:usb2="00000016" w:usb3="00000000" w:csb0="0004000F" w:csb1="00000000"/>
  </w:font>
  <w:font w:name="仿宋_GB2312">
    <w:panose1 w:val="02010609030101010101"/>
    <w:charset w:val="86"/>
    <w:family w:val="roman"/>
    <w:pitch w:val="default"/>
    <w:sig w:usb0="00000001" w:usb1="080E0000" w:usb2="00000000" w:usb3="00000000" w:csb0="00040000" w:csb1="00000000"/>
  </w:font>
  <w:font w:name="等线 Light">
    <w:altName w:val="Olympic Beijing Picto"/>
    <w:panose1 w:val="00000000000000000000"/>
    <w:charset w:val="00"/>
    <w:family w:val="auto"/>
    <w:pitch w:val="default"/>
    <w:sig w:usb0="00000000" w:usb1="00000000" w:usb2="00000000" w:usb3="00000000" w:csb0="00000000" w:csb1="00000000"/>
  </w:font>
  <w:font w:name="Olympic Beijing Picto">
    <w:panose1 w:val="02000500000000000000"/>
    <w:charset w:val="00"/>
    <w:family w:val="auto"/>
    <w:pitch w:val="default"/>
    <w:sig w:usb0="800000A7" w:usb1="5000004A" w:usb2="00000000" w:usb3="00000000" w:csb0="20000111" w:csb1="41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characterSpacingControl w:val="doNotCompress"/>
  <w:footnotePr>
    <w:footnote w:id="0"/>
    <w:footnote w:id="1"/>
  </w:footnotePr>
  <w:endnotePr>
    <w:endnote w:id="0"/>
    <w:endnote w:id="1"/>
  </w:endnotePr>
  <w:compat>
    <w:useFELayout/>
    <w:compatSetting w:name="compatibilityMode" w:uri="http://schemas.microsoft.com/office/word" w:val="12"/>
    <w:compatSetting w:name="overrideTableStyleFontSizeAndJustification" w:uri="http://schemas.microsoft.com/office/word" w:val="1"/>
  </w:compat>
  <w:rsids>
    <w:rsidRoot w:val="00FD1655"/>
    <w:rsid w:val="00C804D8"/>
    <w:rsid w:val="00FD1655"/>
    <w:rsid w:val="1A4F23B6"/>
    <w:rsid w:val="1C4B0FF2"/>
    <w:rsid w:val="28E317FA"/>
    <w:rsid w:val="7EF125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qFormat="1" w:uiPriority="99" w:semiHidden="0" w:name="Normal Indent"/>
    <w:lsdException w:uiPriority="99" w:name="footnote text"/>
    <w:lsdException w:uiPriority="99" w:name="annotation text"/>
    <w:lsdException w:qFormat="1" w:uiPriority="99"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en-US" w:eastAsia="en-US" w:bidi="ar-SA"/>
    </w:rPr>
  </w:style>
  <w:style w:type="paragraph" w:styleId="2">
    <w:name w:val="heading 1"/>
    <w:basedOn w:val="1"/>
    <w:next w:val="1"/>
    <w:link w:val="17"/>
    <w:qFormat/>
    <w:uiPriority w:val="9"/>
    <w:pPr>
      <w:keepNext/>
      <w:keepLines/>
      <w:spacing w:before="480"/>
      <w:outlineLvl w:val="0"/>
    </w:pPr>
    <w:rPr>
      <w:rFonts w:asciiTheme="majorHAnsi" w:hAnsiTheme="majorHAnsi" w:eastAsiaTheme="majorEastAsia" w:cstheme="majorBidi"/>
      <w:b/>
      <w:bCs/>
      <w:color w:val="2E75B5" w:themeColor="accent1" w:themeShade="BF"/>
      <w:sz w:val="28"/>
      <w:szCs w:val="28"/>
    </w:rPr>
  </w:style>
  <w:style w:type="paragraph" w:styleId="3">
    <w:name w:val="heading 2"/>
    <w:basedOn w:val="1"/>
    <w:next w:val="1"/>
    <w:link w:val="18"/>
    <w:unhideWhenUsed/>
    <w:qFormat/>
    <w:uiPriority w:val="9"/>
    <w:pPr>
      <w:keepNext/>
      <w:keepLines/>
      <w:spacing w:before="200"/>
      <w:outlineLvl w:val="1"/>
    </w:pPr>
    <w:rPr>
      <w:rFonts w:asciiTheme="majorHAnsi" w:hAnsiTheme="majorHAnsi" w:eastAsiaTheme="majorEastAsia" w:cstheme="majorBidi"/>
      <w:b/>
      <w:bCs/>
      <w:color w:val="5B9BD5" w:themeColor="accent1"/>
      <w:sz w:val="26"/>
      <w:szCs w:val="26"/>
    </w:rPr>
  </w:style>
  <w:style w:type="paragraph" w:styleId="4">
    <w:name w:val="heading 3"/>
    <w:basedOn w:val="1"/>
    <w:next w:val="1"/>
    <w:link w:val="19"/>
    <w:unhideWhenUsed/>
    <w:qFormat/>
    <w:uiPriority w:val="9"/>
    <w:pPr>
      <w:keepNext/>
      <w:keepLines/>
      <w:spacing w:before="200"/>
      <w:outlineLvl w:val="2"/>
    </w:pPr>
    <w:rPr>
      <w:rFonts w:asciiTheme="majorHAnsi" w:hAnsiTheme="majorHAnsi" w:eastAsiaTheme="majorEastAsia" w:cstheme="majorBidi"/>
      <w:b/>
      <w:bCs/>
      <w:color w:val="5B9BD5" w:themeColor="accent1"/>
    </w:rPr>
  </w:style>
  <w:style w:type="paragraph" w:styleId="5">
    <w:name w:val="heading 4"/>
    <w:basedOn w:val="1"/>
    <w:next w:val="1"/>
    <w:link w:val="20"/>
    <w:unhideWhenUsed/>
    <w:qFormat/>
    <w:uiPriority w:val="9"/>
    <w:pPr>
      <w:keepNext/>
      <w:keepLines/>
      <w:spacing w:before="200"/>
      <w:outlineLvl w:val="3"/>
    </w:pPr>
    <w:rPr>
      <w:rFonts w:asciiTheme="majorHAnsi" w:hAnsiTheme="majorHAnsi" w:eastAsiaTheme="majorEastAsia" w:cstheme="majorBidi"/>
      <w:b/>
      <w:bCs/>
      <w:i/>
      <w:iCs/>
      <w:color w:val="5B9BD5" w:themeColor="accent1"/>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6">
    <w:name w:val="Normal Indent"/>
    <w:basedOn w:val="1"/>
    <w:unhideWhenUsed/>
    <w:qFormat/>
    <w:uiPriority w:val="99"/>
    <w:pPr>
      <w:ind w:left="720"/>
    </w:pPr>
  </w:style>
  <w:style w:type="paragraph" w:styleId="7">
    <w:name w:val="caption"/>
    <w:basedOn w:val="1"/>
    <w:next w:val="1"/>
    <w:semiHidden/>
    <w:unhideWhenUsed/>
    <w:qFormat/>
    <w:uiPriority w:val="35"/>
    <w:pPr>
      <w:spacing w:line="240" w:lineRule="auto"/>
    </w:pPr>
    <w:rPr>
      <w:b/>
      <w:bCs/>
      <w:color w:val="5B9BD5" w:themeColor="accent1"/>
      <w:sz w:val="18"/>
      <w:szCs w:val="18"/>
    </w:rPr>
  </w:style>
  <w:style w:type="paragraph" w:styleId="8">
    <w:name w:val="header"/>
    <w:basedOn w:val="1"/>
    <w:link w:val="16"/>
    <w:unhideWhenUsed/>
    <w:qFormat/>
    <w:uiPriority w:val="99"/>
    <w:pPr>
      <w:tabs>
        <w:tab w:val="center" w:pos="4680"/>
        <w:tab w:val="right" w:pos="9360"/>
      </w:tabs>
    </w:pPr>
  </w:style>
  <w:style w:type="paragraph" w:styleId="9">
    <w:name w:val="Subtitle"/>
    <w:basedOn w:val="1"/>
    <w:next w:val="1"/>
    <w:link w:val="21"/>
    <w:qFormat/>
    <w:uiPriority w:val="11"/>
    <w:pPr>
      <w:ind w:left="86"/>
    </w:pPr>
    <w:rPr>
      <w:rFonts w:asciiTheme="majorHAnsi" w:hAnsiTheme="majorHAnsi" w:eastAsiaTheme="majorEastAsia" w:cstheme="majorBidi"/>
      <w:i/>
      <w:iCs/>
      <w:color w:val="5B9BD5" w:themeColor="accent1"/>
      <w:spacing w:val="15"/>
      <w:sz w:val="24"/>
      <w:szCs w:val="24"/>
    </w:rPr>
  </w:style>
  <w:style w:type="paragraph" w:styleId="10">
    <w:name w:val="Title"/>
    <w:basedOn w:val="1"/>
    <w:next w:val="1"/>
    <w:link w:val="22"/>
    <w:qFormat/>
    <w:uiPriority w:val="10"/>
    <w:pPr>
      <w:pBdr>
        <w:bottom w:val="single" w:color="5B9BD5" w:themeColor="accent1" w:sz="8" w:space="4"/>
      </w:pBdr>
      <w:spacing w:after="300"/>
      <w:contextualSpacing/>
    </w:pPr>
    <w:rPr>
      <w:rFonts w:asciiTheme="majorHAnsi" w:hAnsiTheme="majorHAnsi" w:eastAsiaTheme="majorEastAsia" w:cstheme="majorBidi"/>
      <w:color w:val="323E4F" w:themeColor="text2" w:themeShade="BF"/>
      <w:spacing w:val="5"/>
      <w:kern w:val="28"/>
      <w:sz w:val="52"/>
      <w:szCs w:val="52"/>
    </w:rPr>
  </w:style>
  <w:style w:type="table" w:styleId="12">
    <w:name w:val="Table Grid"/>
    <w:basedOn w:val="11"/>
    <w:qFormat/>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14">
    <w:name w:val="Emphasis"/>
    <w:basedOn w:val="13"/>
    <w:qFormat/>
    <w:uiPriority w:val="20"/>
    <w:rPr>
      <w:i/>
      <w:iCs/>
    </w:rPr>
  </w:style>
  <w:style w:type="character" w:styleId="15">
    <w:name w:val="Hyperlink"/>
    <w:basedOn w:val="13"/>
    <w:unhideWhenUsed/>
    <w:qFormat/>
    <w:uiPriority w:val="99"/>
    <w:rPr>
      <w:color w:val="0563C1" w:themeColor="hyperlink"/>
      <w:u w:val="single"/>
    </w:rPr>
  </w:style>
  <w:style w:type="character" w:customStyle="1" w:styleId="16">
    <w:name w:val="页眉 字符"/>
    <w:basedOn w:val="13"/>
    <w:link w:val="8"/>
    <w:qFormat/>
    <w:uiPriority w:val="99"/>
  </w:style>
  <w:style w:type="character" w:customStyle="1" w:styleId="17">
    <w:name w:val="标题 1 字符"/>
    <w:basedOn w:val="13"/>
    <w:link w:val="2"/>
    <w:qFormat/>
    <w:uiPriority w:val="9"/>
    <w:rPr>
      <w:rFonts w:asciiTheme="majorHAnsi" w:hAnsiTheme="majorHAnsi" w:eastAsiaTheme="majorEastAsia" w:cstheme="majorBidi"/>
      <w:b/>
      <w:bCs/>
      <w:color w:val="2E75B5" w:themeColor="accent1" w:themeShade="BF"/>
      <w:sz w:val="28"/>
      <w:szCs w:val="28"/>
    </w:rPr>
  </w:style>
  <w:style w:type="character" w:customStyle="1" w:styleId="18">
    <w:name w:val="标题 2 字符"/>
    <w:basedOn w:val="13"/>
    <w:link w:val="3"/>
    <w:qFormat/>
    <w:uiPriority w:val="9"/>
    <w:rPr>
      <w:rFonts w:asciiTheme="majorHAnsi" w:hAnsiTheme="majorHAnsi" w:eastAsiaTheme="majorEastAsia" w:cstheme="majorBidi"/>
      <w:b/>
      <w:bCs/>
      <w:color w:val="5B9BD5" w:themeColor="accent1"/>
      <w:sz w:val="26"/>
      <w:szCs w:val="26"/>
    </w:rPr>
  </w:style>
  <w:style w:type="character" w:customStyle="1" w:styleId="19">
    <w:name w:val="标题 3 字符"/>
    <w:basedOn w:val="13"/>
    <w:link w:val="4"/>
    <w:qFormat/>
    <w:uiPriority w:val="9"/>
    <w:rPr>
      <w:rFonts w:asciiTheme="majorHAnsi" w:hAnsiTheme="majorHAnsi" w:eastAsiaTheme="majorEastAsia" w:cstheme="majorBidi"/>
      <w:b/>
      <w:bCs/>
      <w:color w:val="5B9BD5" w:themeColor="accent1"/>
    </w:rPr>
  </w:style>
  <w:style w:type="character" w:customStyle="1" w:styleId="20">
    <w:name w:val="标题 4 字符"/>
    <w:basedOn w:val="13"/>
    <w:link w:val="5"/>
    <w:qFormat/>
    <w:uiPriority w:val="9"/>
    <w:rPr>
      <w:rFonts w:asciiTheme="majorHAnsi" w:hAnsiTheme="majorHAnsi" w:eastAsiaTheme="majorEastAsia" w:cstheme="majorBidi"/>
      <w:b/>
      <w:bCs/>
      <w:i/>
      <w:iCs/>
      <w:color w:val="5B9BD5" w:themeColor="accent1"/>
    </w:rPr>
  </w:style>
  <w:style w:type="character" w:customStyle="1" w:styleId="21">
    <w:name w:val="副标题 字符"/>
    <w:basedOn w:val="13"/>
    <w:link w:val="9"/>
    <w:qFormat/>
    <w:uiPriority w:val="11"/>
    <w:rPr>
      <w:rFonts w:asciiTheme="majorHAnsi" w:hAnsiTheme="majorHAnsi" w:eastAsiaTheme="majorEastAsia" w:cstheme="majorBidi"/>
      <w:i/>
      <w:iCs/>
      <w:color w:val="5B9BD5" w:themeColor="accent1"/>
      <w:spacing w:val="15"/>
      <w:sz w:val="24"/>
      <w:szCs w:val="24"/>
    </w:rPr>
  </w:style>
  <w:style w:type="character" w:customStyle="1" w:styleId="22">
    <w:name w:val="标题 字符"/>
    <w:basedOn w:val="13"/>
    <w:link w:val="10"/>
    <w:qFormat/>
    <w:uiPriority w:val="10"/>
    <w:rPr>
      <w:rFonts w:asciiTheme="majorHAnsi" w:hAnsiTheme="majorHAnsi" w:eastAsiaTheme="majorEastAsia" w:cstheme="majorBidi"/>
      <w:color w:val="323E4F" w:themeColor="text2" w:themeShade="BF"/>
      <w:spacing w:val="5"/>
      <w:kern w:val="28"/>
      <w:sz w:val="52"/>
      <w:szCs w:val="5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680</Words>
  <Characters>3882</Characters>
  <Lines>32</Lines>
  <Paragraphs>9</Paragraphs>
  <TotalTime>6</TotalTime>
  <ScaleCrop>false</ScaleCrop>
  <LinksUpToDate>false</LinksUpToDate>
  <CharactersWithSpaces>4553</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2025-08-22T03:12:00Z</dcterms:created>
  <dc:creator>LML</dc:creator>
  <cp:lastModifiedBy>Administrator</cp:lastModifiedBy>
  <dcterms:modified xsi:type="dcterms:W3CDTF">2025-08-25T10:41:03Z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9CAF6E050DF94290800A246BCF8645DA</vt:lpwstr>
  </property>
</Properties>
</file>