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宋体" w:eastAsia="宋体"/>
          <w:sz w:val="32"/>
          <w:szCs w:val="32"/>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jc w:val="center"/>
        <w:outlineLvl w:val="0"/>
        <w:rPr>
          <w:rFonts w:ascii="宋体" w:eastAsia="黑体"/>
          <w:sz w:val="44"/>
          <w:szCs w:val="44"/>
          <w:lang w:eastAsia="zh-CN"/>
        </w:rPr>
      </w:pPr>
      <w:r>
        <w:rPr>
          <w:rFonts w:ascii="宋体" w:eastAsia="黑体"/>
          <w:sz w:val="44"/>
          <w:szCs w:val="44"/>
          <w:lang w:eastAsia="zh-CN"/>
        </w:rPr>
        <w:t>新疆维吾尔自治区国际人才交流合作中心</w:t>
      </w:r>
    </w:p>
    <w:p>
      <w:pPr>
        <w:spacing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pPr>
        <w:rPr>
          <w:lang w:eastAsia="zh-CN"/>
        </w:rPr>
      </w:pPr>
      <w:r>
        <w:rPr>
          <w:sz w:val="0"/>
          <w:szCs w:val="0"/>
          <w:lang w:eastAsia="zh-CN"/>
        </w:rPr>
        <w:br w:type="page"/>
      </w:r>
    </w:p>
    <w:p>
      <w:pPr>
        <w:spacing w:line="240" w:lineRule="auto"/>
        <w:jc w:val="center"/>
        <w:rPr>
          <w:rFonts w:ascii="黑体" w:eastAsia="黑体"/>
          <w:sz w:val="32"/>
          <w:szCs w:val="32"/>
          <w:lang w:eastAsia="zh-CN"/>
        </w:rPr>
      </w:pPr>
      <w:r>
        <w:rPr>
          <w:rFonts w:ascii="黑体" w:eastAsia="黑体"/>
          <w:b/>
          <w:sz w:val="32"/>
          <w:szCs w:val="32"/>
          <w:lang w:eastAsia="zh-CN"/>
        </w:rPr>
        <w:t>目  录</w:t>
      </w:r>
    </w:p>
    <w:p>
      <w:pPr>
        <w:spacing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hint="default" w:ascii="仿宋_GB2312" w:eastAsia="仿宋_GB2312"/>
          <w:b/>
          <w:sz w:val="32"/>
          <w:szCs w:val="32"/>
          <w:lang w:val="en-US" w:eastAsia="zh-CN"/>
        </w:rPr>
        <w:t xml:space="preserve"> </w:t>
      </w:r>
      <w:r>
        <w:rPr>
          <w:rFonts w:ascii="仿宋_GB2312" w:eastAsia="仿宋_GB2312"/>
          <w:b/>
          <w:sz w:val="32"/>
          <w:szCs w:val="32"/>
          <w:lang w:eastAsia="zh-CN"/>
        </w:rPr>
        <w:t>单位概况</w:t>
      </w:r>
    </w:p>
    <w:p>
      <w:pPr>
        <w:spacing w:line="240" w:lineRule="auto"/>
        <w:rPr>
          <w:rFonts w:ascii="仿宋_GB2312" w:eastAsia="仿宋_GB2312"/>
          <w:sz w:val="32"/>
          <w:szCs w:val="32"/>
          <w:lang w:eastAsia="zh-CN"/>
        </w:rPr>
      </w:pPr>
      <w:r>
        <w:rPr>
          <w:rFonts w:ascii="仿宋_GB2312" w:eastAsia="仿宋_GB2312"/>
          <w:sz w:val="32"/>
          <w:szCs w:val="32"/>
          <w:lang w:eastAsia="zh-CN"/>
        </w:rPr>
        <w:t>一、主要职能</w:t>
      </w:r>
    </w:p>
    <w:p>
      <w:pPr>
        <w:spacing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pPr>
        <w:spacing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spacing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spacing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spacing w:line="240" w:lineRule="auto"/>
        <w:rPr>
          <w:rFonts w:ascii="仿宋_GB2312" w:eastAsia="仿宋_GB2312"/>
          <w:sz w:val="32"/>
          <w:szCs w:val="32"/>
          <w:lang w:eastAsia="zh-CN"/>
        </w:rPr>
      </w:pPr>
      <w:r>
        <w:rPr>
          <w:rFonts w:ascii="仿宋_GB2312" w:eastAsia="仿宋_GB2312"/>
          <w:sz w:val="32"/>
          <w:szCs w:val="32"/>
          <w:lang w:eastAsia="zh-CN"/>
        </w:rPr>
        <w:t>（二）政府采购情况</w:t>
      </w:r>
    </w:p>
    <w:p>
      <w:pPr>
        <w:spacing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pPr>
        <w:spacing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pPr>
        <w:spacing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pPr>
        <w:spacing w:line="240" w:lineRule="auto"/>
        <w:rPr>
          <w:rFonts w:ascii="仿宋_GB2312" w:eastAsia="仿宋_GB2312"/>
          <w:sz w:val="32"/>
          <w:szCs w:val="32"/>
          <w:lang w:eastAsia="zh-CN"/>
        </w:rPr>
      </w:pPr>
      <w:r>
        <w:rPr>
          <w:rFonts w:ascii="仿宋_GB2312" w:eastAsia="仿宋_GB2312"/>
          <w:sz w:val="32"/>
          <w:szCs w:val="32"/>
          <w:lang w:eastAsia="zh-CN"/>
        </w:rPr>
        <w:t>二、《收入决算表》</w:t>
      </w:r>
    </w:p>
    <w:p>
      <w:pPr>
        <w:spacing w:line="240" w:lineRule="auto"/>
        <w:rPr>
          <w:rFonts w:ascii="仿宋_GB2312" w:eastAsia="仿宋_GB2312"/>
          <w:sz w:val="32"/>
          <w:szCs w:val="32"/>
          <w:lang w:eastAsia="zh-CN"/>
        </w:rPr>
      </w:pPr>
      <w:r>
        <w:rPr>
          <w:rFonts w:ascii="仿宋_GB2312" w:eastAsia="仿宋_GB2312"/>
          <w:sz w:val="32"/>
          <w:szCs w:val="32"/>
          <w:lang w:eastAsia="zh-CN"/>
        </w:rPr>
        <w:t>三、《支出决算表》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rPr>
          <w:lang w:eastAsia="zh-CN"/>
        </w:rPr>
      </w:pPr>
      <w:r>
        <w:rPr>
          <w:sz w:val="0"/>
          <w:szCs w:val="0"/>
          <w:lang w:eastAsia="zh-CN"/>
        </w:rPr>
        <w:br w:type="page"/>
      </w:r>
    </w:p>
    <w:p>
      <w:pPr>
        <w:spacing w:line="560" w:lineRule="exact"/>
        <w:jc w:val="center"/>
        <w:outlineLvl w:val="0"/>
        <w:rPr>
          <w:rFonts w:ascii="黑体" w:eastAsia="黑体"/>
          <w:sz w:val="32"/>
          <w:szCs w:val="32"/>
          <w:lang w:eastAsia="zh-CN"/>
        </w:rPr>
      </w:pPr>
      <w:r>
        <w:rPr>
          <w:rFonts w:ascii="黑体" w:eastAsia="黑体"/>
          <w:sz w:val="32"/>
          <w:szCs w:val="32"/>
          <w:lang w:eastAsia="zh-CN"/>
        </w:rPr>
        <w:t>第一部分 单位概况</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 一、主要职能</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开展国际人才交流合作，促进科技发展。承担自治区有关国外引智成果收集、推广等工作。</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新疆维吾尔自治区国际人才交流合作中心2024年度，实有人数6人，其中：在职人员6人，较上年无变化；离休人员0人，较上年无变化；退休人员0人，较上年无变化；</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新疆维吾尔自治区国际人才交流合作中心无下属预算单位，下设1个科室，分别是：新疆维吾尔自治区国际人才交流合作中心。</w:t>
      </w:r>
    </w:p>
    <w:p>
      <w:pPr>
        <w:spacing w:line="560" w:lineRule="exact"/>
        <w:rPr>
          <w:lang w:eastAsia="zh-CN"/>
        </w:rPr>
      </w:pPr>
      <w:r>
        <w:rPr>
          <w:sz w:val="0"/>
          <w:szCs w:val="0"/>
          <w:lang w:eastAsia="zh-CN"/>
        </w:rPr>
        <w:br w:type="page"/>
      </w:r>
    </w:p>
    <w:p>
      <w:pPr>
        <w:spacing w:line="560" w:lineRule="exact"/>
        <w:jc w:val="center"/>
        <w:outlineLvl w:val="0"/>
        <w:rPr>
          <w:rFonts w:ascii="黑体" w:eastAsia="黑体"/>
          <w:sz w:val="32"/>
          <w:szCs w:val="32"/>
          <w:lang w:eastAsia="zh-CN"/>
        </w:rPr>
      </w:pPr>
      <w:r>
        <w:rPr>
          <w:rFonts w:ascii="黑体" w:eastAsia="黑体"/>
          <w:sz w:val="32"/>
          <w:szCs w:val="32"/>
          <w:lang w:eastAsia="zh-CN"/>
        </w:rPr>
        <w:t>第二部分 部门决算情况说明</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2024年度收入总计133.37万元，其中：本年收入合计133.37万元，使用非财政拨款结余（含专用结余）0.00万元，年初结转和结余0.00万元。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2024年度支出总计133.37万元，其中：本年支出合计133.35万元，结余分配0.02万元，年末结转和结余0.00万元。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收入支出总体与上年相比，增加9.39万元，增长7.57%，主要原因是：人员经费政策性增资，财政拨款收入较上年增加。</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本年收入133.37万元，其中：财政拨款收入133.35万元,占99.99%；上级补助收入0.00万元,占0.00%；事业收入0.00万元，占0.00%；经营收入0.00万元,占0.00%；附属单位上缴收入0.00万元，占0.00%；其他收入0.02万元，占0.01%。</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本年支出133.35万元，其中：基本支出133.35万元，占100.00%；项目支出0.00万元，占0.00%；上缴上级支出0.00万元，占0.00%；经营支出0.00万元，占0.00%；对附属单位补助支出0.00万元，占0.00%。</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2024年度财政拨款收入总计133.35万元，其中：年初财政拨款结转和结余0.00万元，本年财政拨款收入133.35万元。财政拨款支出总计133.35万元，其中：年末财政拨款结转和结余0.00万元，本年财政拨款支出133.35万元。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9.45万元，增长7.63%，主要原因是：人员经费政策性增资，财政拨款收入较上年增加。与年初预算相比，年初预算数124.22万元，决算数133.35万元，预决算差异率7.35%，主要原因是：人员经费政策性增资，财政拨款收入增加。</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133.35万元，占本年支出合计的100.00%。与上年相比，增加9.45万元，增长7.63%，主要原因是：人员经费政策性增资，财政拨款收入较上年增加。与年初预算相比，年初预算数124.22万元，决算数133.35万元，预决算差异率7.35%，主要原因是：人员经费政策性增资，财政拨款收入增加。</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科学技术支出（类）133.35万元，占100.00%。</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1、科学技术支出（类）应用研究（款）机构运行（项）：支出决算数为133.35万元，比上年决算增加9.45万元，增长7.63%，主要原因是：人员经费政策性增资，财政拨款收入较上年增加。</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133.35万元，其中：人员经费126.40万元，包括：基本工资、津贴补贴、奖金、绩效工资、机关事业单位基本养老保险缴费、职工基本医疗保险缴费、公务员医疗补助缴费、其他社会保障缴费和住房公积金。</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公用经费6.95万元，包括：办公费、差旅费、工会经费和福利费。</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本单位2023年度与2024年度均未安排此项经费。其中：因公出国（境）费支出0.00万元,占0.00%，与上年相比无变化，主要原因是：本单位2023年度与2024年度均未安排因公出国（境）费；公务用车购置及运行维护费支出0.00万元，占0.00%，与上年相比无变化，主要原因是：本单位2023年度与2024年度均未安排公务用车购置及运行维护费；公务接待费支出0.00万元，占0.00%，与上年相比无变化，主要原因是：本单位2023年度与2024年度均未安排公务接待费。</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因公出国（境）费支出0.00万元，开支内容包括本单位无因公出国（境）费。单位全年安排的因公出国（境）团组0个，因公出国（境）0人次。</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差异。</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w:t>
      </w:r>
      <w:bookmarkStart w:id="0" w:name="_GoBack"/>
      <w:bookmarkEnd w:id="0"/>
      <w:r>
        <w:rPr>
          <w:rFonts w:ascii="仿宋_GB2312" w:eastAsia="仿宋_GB2312"/>
          <w:sz w:val="32"/>
          <w:szCs w:val="32"/>
          <w:lang w:eastAsia="zh-CN"/>
        </w:rPr>
        <w:t>支内容包括本单位无公务接待费。单位全年安排的国内公务接待0批次，0人次。</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本单位无此项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2024年度新疆维吾尔自治区国际人才交流合作中心单位​（事业单位）公用经费支出6.95万元，比上年减少0.57万元，下降7.58%，主要原因是：厉行节约，减少非必要支出。</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评价项目0个，全年预算数0.00万元，全年执行数0.00万元。预算绩效管理取得的成效：本单位无预算绩效。发现的问题及原因：本单位无预算绩效。下一步改进措施：本单位无预算绩效。具体附项目支出绩效自评表。</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default"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val="en-US" w:eastAsia="zh-CN"/>
        </w:rPr>
        <w:t>年度本单位政府采购支出总额为</w:t>
      </w:r>
      <w:r>
        <w:rPr>
          <w:rFonts w:hint="default"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lang w:val="en-US" w:eastAsia="zh-CN"/>
        </w:rPr>
        <w:t>万元，授予中小企业合同金额、授予小微企业合同金额</w:t>
      </w:r>
      <w:r>
        <w:rPr>
          <w:rFonts w:hint="default"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lang w:val="en-US" w:eastAsia="zh-CN"/>
        </w:rPr>
        <w:t>万元。</w:t>
      </w:r>
    </w:p>
    <w:p>
      <w:pPr>
        <w:spacing w:line="560" w:lineRule="exact"/>
        <w:ind w:firstLine="640" w:firstLineChars="200"/>
        <w:rPr>
          <w:rFonts w:ascii="仿宋_GB2312" w:eastAsia="仿宋_GB2312"/>
          <w:sz w:val="32"/>
          <w:szCs w:val="32"/>
          <w:lang w:eastAsia="zh-CN"/>
        </w:rPr>
      </w:pPr>
    </w:p>
    <w:p>
      <w:pPr>
        <w:spacing w:line="560" w:lineRule="exact"/>
        <w:rPr>
          <w:lang w:eastAsia="zh-CN"/>
        </w:rPr>
      </w:pPr>
      <w:r>
        <w:rPr>
          <w:sz w:val="0"/>
          <w:szCs w:val="0"/>
          <w:lang w:eastAsia="zh-CN"/>
        </w:rPr>
        <w:br w:type="page"/>
      </w:r>
    </w:p>
    <w:p>
      <w:pPr>
        <w:spacing w:line="560" w:lineRule="exact"/>
        <w:jc w:val="center"/>
        <w:outlineLvl w:val="0"/>
        <w:rPr>
          <w:rFonts w:ascii="黑体" w:eastAsia="黑体"/>
          <w:sz w:val="32"/>
          <w:szCs w:val="32"/>
          <w:lang w:eastAsia="zh-CN"/>
        </w:rPr>
      </w:pPr>
      <w:r>
        <w:rPr>
          <w:rFonts w:ascii="黑体" w:eastAsia="黑体"/>
          <w:sz w:val="32"/>
          <w:szCs w:val="32"/>
          <w:lang w:eastAsia="zh-CN"/>
        </w:rPr>
        <w:t>第三部分 专业名词解释</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pPr>
        <w:spacing w:line="560" w:lineRule="exact"/>
        <w:rPr>
          <w:lang w:eastAsia="zh-CN"/>
        </w:rPr>
      </w:pPr>
      <w:r>
        <w:rPr>
          <w:sz w:val="0"/>
          <w:szCs w:val="0"/>
          <w:lang w:eastAsia="zh-CN"/>
        </w:rPr>
        <w:br w:type="page"/>
      </w:r>
    </w:p>
    <w:p>
      <w:pPr>
        <w:spacing w:line="560" w:lineRule="exact"/>
        <w:jc w:val="center"/>
        <w:outlineLvl w:val="0"/>
        <w:rPr>
          <w:rFonts w:ascii="黑体" w:eastAsia="黑体"/>
          <w:sz w:val="32"/>
          <w:szCs w:val="32"/>
          <w:lang w:eastAsia="zh-CN"/>
        </w:rPr>
      </w:pPr>
      <w:r>
        <w:rPr>
          <w:rFonts w:ascii="黑体" w:eastAsia="黑体"/>
          <w:sz w:val="32"/>
          <w:szCs w:val="32"/>
          <w:lang w:eastAsia="zh-CN"/>
        </w:rPr>
        <w:t>第四部分 部门决算报表（见附表）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657B67"/>
    <w:rsid w:val="00657B67"/>
    <w:rsid w:val="00812FEC"/>
    <w:rsid w:val="008960DF"/>
    <w:rsid w:val="00F30F04"/>
    <w:rsid w:val="16E95769"/>
    <w:rsid w:val="3FC11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页眉 Char"/>
    <w:basedOn w:val="13"/>
    <w:link w:val="8"/>
    <w:qFormat/>
    <w:uiPriority w:val="99"/>
  </w:style>
  <w:style w:type="character" w:customStyle="1" w:styleId="17">
    <w:name w:val="标题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标题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标题 3 Char"/>
    <w:basedOn w:val="13"/>
    <w:link w:val="4"/>
    <w:uiPriority w:val="9"/>
    <w:rPr>
      <w:rFonts w:asciiTheme="majorHAnsi" w:hAnsiTheme="majorHAnsi" w:eastAsiaTheme="majorEastAsia" w:cstheme="majorBidi"/>
      <w:b/>
      <w:bCs/>
      <w:color w:val="4F81BD" w:themeColor="accent1"/>
    </w:rPr>
  </w:style>
  <w:style w:type="character" w:customStyle="1" w:styleId="20">
    <w:name w:val="标题 4 Char"/>
    <w:basedOn w:val="13"/>
    <w:link w:val="5"/>
    <w:uiPriority w:val="9"/>
    <w:rPr>
      <w:rFonts w:asciiTheme="majorHAnsi" w:hAnsiTheme="majorHAnsi" w:eastAsiaTheme="majorEastAsia" w:cstheme="majorBidi"/>
      <w:b/>
      <w:bCs/>
      <w:i/>
      <w:iCs/>
      <w:color w:val="4F81BD" w:themeColor="accent1"/>
    </w:rPr>
  </w:style>
  <w:style w:type="character" w:customStyle="1" w:styleId="21">
    <w:name w:val="副标题 Char"/>
    <w:basedOn w:val="13"/>
    <w:link w:val="9"/>
    <w:uiPriority w:val="11"/>
    <w:rPr>
      <w:rFonts w:asciiTheme="majorHAnsi" w:hAnsiTheme="majorHAnsi" w:eastAsiaTheme="majorEastAsia" w:cstheme="majorBidi"/>
      <w:i/>
      <w:iCs/>
      <w:color w:val="4F81BD" w:themeColor="accent1"/>
      <w:spacing w:val="15"/>
      <w:sz w:val="24"/>
      <w:szCs w:val="24"/>
    </w:rPr>
  </w:style>
  <w:style w:type="character" w:customStyle="1" w:styleId="22">
    <w:name w:val="标题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4256</Words>
  <Characters>4717</Characters>
  <Lines>34</Lines>
  <Paragraphs>9</Paragraphs>
  <TotalTime>2</TotalTime>
  <ScaleCrop>false</ScaleCrop>
  <LinksUpToDate>false</LinksUpToDate>
  <CharactersWithSpaces>4728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2025-08-22T03:17:00Z</dcterms:created>
  <dc:creator>Administrator</dc:creator>
  <cp:lastModifiedBy>Administrator</cp:lastModifiedBy>
  <dcterms:modified xsi:type="dcterms:W3CDTF">2025-10-17T03:39:52Z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55FD05F10C064888B54264CCFC139046</vt:lpwstr>
  </property>
</Properties>
</file>