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宋体" w:eastAsia="黑体"/>
          <w:sz w:val="44"/>
          <w:szCs w:val="44"/>
        </w:rPr>
      </w:pPr>
      <w:r>
        <w:rPr>
          <w:rFonts w:ascii="宋体" w:eastAsia="黑体"/>
          <w:sz w:val="44"/>
          <w:szCs w:val="44"/>
        </w:rPr>
        <w:t>新疆维吾尔自治区煤炭科学研究所</w:t>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44"/>
          <w:szCs w:val="44"/>
        </w:rPr>
      </w:pPr>
      <w:r>
        <w:rPr>
          <w:rFonts w:ascii="黑体" w:eastAsia="黑体"/>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rPr>
          <w:rFonts w:ascii="黑体" w:eastAsia="黑体"/>
          <w:sz w:val="32"/>
          <w:szCs w:val="32"/>
        </w:rPr>
      </w:pPr>
      <w:r>
        <w:rPr>
          <w:rFonts w:ascii="黑体" w:eastAsia="黑体"/>
          <w:b/>
          <w:sz w:val="32"/>
          <w:szCs w:val="32"/>
        </w:rPr>
        <w:t>目</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一、主要职能</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二、机构设置及人员情况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第二部分</w:t>
      </w:r>
      <w:r>
        <w:rPr>
          <w:rFonts w:hint="default" w:ascii="仿宋_GB2312" w:eastAsia="仿宋_GB2312"/>
          <w:b/>
          <w:sz w:val="32"/>
          <w:szCs w:val="32"/>
          <w:lang w:val="en-US"/>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二、收入决算情况说明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（二）政府采购情况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十二、其他需说明的事项</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一、《收入支出决算总表》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二、《收入决算表》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第一部分</w:t>
      </w:r>
      <w:r>
        <w:rPr>
          <w:rFonts w:hint="default" w:ascii="黑体" w:eastAsia="黑体"/>
          <w:sz w:val="32"/>
          <w:szCs w:val="32"/>
          <w:lang w:val="en-US"/>
        </w:rPr>
        <w:t xml:space="preserve"> </w:t>
      </w:r>
      <w:r>
        <w:rPr>
          <w:rFonts w:ascii="黑体" w:eastAsia="黑体"/>
          <w:sz w:val="32"/>
          <w:szCs w:val="32"/>
        </w:rPr>
        <w:t>单位概况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一、主要职能</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工作职能：开展煤炭技术研究，促进科学技术发展，煤炭开采方法、安全生产、环境治理的技术研究与推广。矿山灾害预防与治理、地质灾害综合研究与技术交流，煤层气工程技术研究，矿产资源和煤化工产品分析评价与综合利用研究。矿山职业卫生监测与评价、职业病防治技术研究、矿山设备研究与推广应用。碳计量、碳评估和低碳利用等双碳领域技术开发与应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二、机构设置及人员情况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新疆维吾尔自治区煤炭科学研究所2024年度，实有人数73人，其中：在职人员33人，减少2人；离休人员1人，较上年无变化；退休人员39人，增加1人。</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新疆维吾尔自治区煤炭科学研究所无下属预算单位，下设5个科室，分别是：综合办公室、质管室、检测与评价中心、矿山安全技术中心、煤化研究室。</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第二部分</w:t>
      </w:r>
      <w:r>
        <w:rPr>
          <w:rFonts w:hint="default" w:ascii="黑体" w:eastAsia="黑体"/>
          <w:sz w:val="32"/>
          <w:szCs w:val="32"/>
          <w:lang w:val="en-US"/>
        </w:rPr>
        <w:t xml:space="preserve"> </w:t>
      </w:r>
      <w:r>
        <w:rPr>
          <w:rFonts w:ascii="黑体" w:eastAsia="黑体"/>
          <w:sz w:val="32"/>
          <w:szCs w:val="32"/>
        </w:rPr>
        <w:t>部门决算情况说明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2024年度收入总计1,789.70万元，其中：本年收入合计1,787.36万元，使用非财政拨款结余（含专用结余）0.00万元，年初结转和结余2.34万元。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2024年度支出总计1,789.70万元，其中：本年支出合计1,424.49万元，结余分配365.22万元，年末结转和结余0.00万元。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收入支出总体与上年相比，增加303.95万元，增长20.46%，主要原因是：事业收入增长较快，比上年增长53.26%。</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二、收入决算情况说明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本年收入1,787.36万元，其中：财政拨款收入781.95万元,占43.75%；上级补助收入0.00万元,占0.00%；事业收入943.35万元，占52.78%；经营收入0.00万元,占0.00%；附属单位上缴收入0.00万元，占0.00%；其他收入62.06万元，占3.47%。</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三、支出决算情况说明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本年支出1,424.49万元，其中：基本支出945.69万元，占66.39%；项目支出478.80万元，占33.61%；上缴上级支出0.00万元，占0.00%；经营支出0.00万元，占0.00%；对附属单位补助支出0.00万元，占0.00%。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2024年度财政拨款收入总计781.95万元，其中：年初财政拨款结转和结余0.00万元，本年财政拨款收入781.95万元。财政拨款支出总计781.95万元，其中：年末财政拨款结转和结余0.00万元，本年财政拨款支出781.95万元。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财政拨款收入支出总体与上年相比，减少0.75万元，下降0.10%，主要原因是：2024年在职转退休2人，导致财政拨款收入较去年略有减少。与年初预算相比，年初预算数746.26万元，决算数781.95万元，预决算差异率4.78%，主要原因是：因2024年追加抚恤金预算，导致预决算有差异。</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一般公共预算财政拨款支出781.95万元，占本年支出合计的54.89%。与上年相比，减少0.75万元，下降0.10%，主要原因是：2024年在职转退休2人，导致财政拨款收入较去年减少。与年初预算相比，年初预算数746.26万元，决算数781.95万元，预决算差异率4.78%，主要原因是：因2024年追加抚恤金预算，导致预决算有差异。</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科学技术支出（类）766.95万元，占98.08%。</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社会保障和就业支出（类）15.00万元，占1.92%。</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r>
        <w:rPr>
          <w:rFonts w:ascii="仿宋_GB2312" w:eastAsia="仿宋_GB2312"/>
          <w:sz w:val="32"/>
          <w:szCs w:val="32"/>
        </w:rPr>
        <w:t>1、科学技术支出（类）应用研究（款）机构运行（项）：支出决算数为766.95万元，比上年决算减少0.58万元，下降0.08%，主要原因是：2024年在职转退休2人，人员经费较上年减少。</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r>
        <w:rPr>
          <w:rFonts w:ascii="仿宋_GB2312" w:eastAsia="仿宋_GB2312"/>
          <w:sz w:val="32"/>
          <w:szCs w:val="32"/>
        </w:rPr>
        <w:t>2、科学技术支出（类）其他科学技术支出（款）其他科学技术支出（项）：支出决算数为0.00万元，比上年决算减少15.00万元，下降100.00%，主要原因是：2024年</w:t>
      </w:r>
      <w:r>
        <w:rPr>
          <w:rFonts w:hint="eastAsia" w:ascii="仿宋_GB2312" w:eastAsia="仿宋_GB2312"/>
          <w:sz w:val="32"/>
          <w:szCs w:val="32"/>
          <w:lang w:eastAsia="zh-CN"/>
        </w:rPr>
        <w:t>未安排</w:t>
      </w:r>
      <w:r>
        <w:rPr>
          <w:rFonts w:ascii="仿宋_GB2312" w:eastAsia="仿宋_GB2312"/>
          <w:sz w:val="32"/>
          <w:szCs w:val="32"/>
        </w:rPr>
        <w:t>科研创新平台建设奖补资金项目支出。</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r>
        <w:rPr>
          <w:rFonts w:ascii="仿宋_GB2312" w:eastAsia="仿宋_GB2312"/>
          <w:sz w:val="32"/>
          <w:szCs w:val="32"/>
        </w:rPr>
        <w:t>3、社会保障和就业支出（类）人力资源和社会保障管理事务（款）其他人力资源和社会保障管理事务支出（项）：支出决算数为15.00万元，比上年决算增加15.00万元，增长100.00%，主要原因是：2024年追加了天池英才计划项目预算。</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r>
        <w:rPr>
          <w:rFonts w:ascii="仿宋_GB2312" w:eastAsia="仿宋_GB2312"/>
          <w:sz w:val="32"/>
          <w:szCs w:val="32"/>
        </w:rPr>
        <w:t>4、社会保障和就业支出（类）行政事业单位养老支出（款）事业单位离退休（项）：支出决算数为0.00万元，比上年决算减少0.17万元，下降100.00%，主要原因是：</w:t>
      </w:r>
      <w:r>
        <w:rPr>
          <w:rFonts w:hint="eastAsia" w:ascii="仿宋_GB2312" w:eastAsia="仿宋_GB2312"/>
          <w:sz w:val="32"/>
          <w:szCs w:val="32"/>
          <w:lang w:eastAsia="zh-CN"/>
        </w:rPr>
        <w:t>本年减少支付</w:t>
      </w:r>
      <w:r>
        <w:rPr>
          <w:rFonts w:ascii="仿宋_GB2312" w:eastAsia="仿宋_GB2312"/>
          <w:sz w:val="32"/>
          <w:szCs w:val="32"/>
        </w:rPr>
        <w:t>离退休活动费。</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一般公共预算财政拨款基本支出766.95万元，其中：人员经费717.77万元，包括：基本工资、津贴补贴、奖金、绩效工资、机关事业单位基本养老保险缴费、职业年金缴费、职工基本医疗保险缴费、公务员医疗补助缴费、其他社会保障缴费、住房公积金、离休费、退休费、抚恤金和其他对个人和家庭的补助。</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公用经费49.19万元，包括：办公费、水费、电费、邮电费、取暖费、差旅费、工会经费、福利费和其他交通费用。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2024年度财政拨款“三公”经费支出0.00万元，与上年相比无变化，主要原因是：我单位</w:t>
      </w:r>
      <w:r>
        <w:rPr>
          <w:rFonts w:hint="default" w:ascii="仿宋_GB2312" w:eastAsia="仿宋_GB2312"/>
          <w:sz w:val="32"/>
          <w:szCs w:val="32"/>
          <w:lang w:val="en-US"/>
        </w:rPr>
        <w:t>2023</w:t>
      </w:r>
      <w:r>
        <w:rPr>
          <w:rFonts w:hint="eastAsia" w:ascii="仿宋_GB2312" w:eastAsia="仿宋_GB2312"/>
          <w:sz w:val="32"/>
          <w:szCs w:val="32"/>
          <w:lang w:val="en-US" w:eastAsia="zh-CN"/>
        </w:rPr>
        <w:t>年及</w:t>
      </w:r>
      <w:r>
        <w:rPr>
          <w:rFonts w:hint="default" w:ascii="仿宋_GB2312" w:eastAsia="仿宋_GB2312"/>
          <w:sz w:val="32"/>
          <w:szCs w:val="32"/>
          <w:lang w:val="en-US" w:eastAsia="zh-CN"/>
        </w:rPr>
        <w:t>2024</w:t>
      </w:r>
      <w:r>
        <w:rPr>
          <w:rFonts w:hint="eastAsia" w:ascii="仿宋_GB2312" w:eastAsia="仿宋_GB2312"/>
          <w:sz w:val="32"/>
          <w:szCs w:val="32"/>
          <w:lang w:val="en-US" w:eastAsia="zh-CN"/>
        </w:rPr>
        <w:t>年均</w:t>
      </w:r>
      <w:r>
        <w:rPr>
          <w:rFonts w:ascii="仿宋_GB2312" w:eastAsia="仿宋_GB2312"/>
          <w:sz w:val="32"/>
          <w:szCs w:val="32"/>
        </w:rPr>
        <w:t>无财政拨款“三公”经费支出。其中：因公出国（境）费支出0.00万元,占0.00%，与上年相比无变化，主要原因是：我单位</w:t>
      </w:r>
      <w:r>
        <w:rPr>
          <w:rFonts w:hint="eastAsia" w:ascii="仿宋_GB2312" w:eastAsia="仿宋_GB2312"/>
          <w:sz w:val="32"/>
          <w:szCs w:val="32"/>
          <w:lang w:val="en-US" w:eastAsia="zh-CN"/>
        </w:rPr>
        <w:t>2023年度与2024年度均未安排</w:t>
      </w:r>
      <w:r>
        <w:rPr>
          <w:rFonts w:ascii="仿宋_GB2312" w:eastAsia="仿宋_GB2312"/>
          <w:sz w:val="32"/>
          <w:szCs w:val="32"/>
        </w:rPr>
        <w:t>因公出国（境）费支出；公务用车购置及运行维护费支出0.00万元，占0.00%，与上年相比无变化，主要原因是：我单位</w:t>
      </w:r>
      <w:r>
        <w:rPr>
          <w:rFonts w:hint="eastAsia" w:ascii="仿宋_GB2312" w:eastAsia="仿宋_GB2312"/>
          <w:sz w:val="32"/>
          <w:szCs w:val="32"/>
          <w:lang w:val="en-US" w:eastAsia="zh-CN"/>
        </w:rPr>
        <w:t>2023年度与2024年度均未安排</w:t>
      </w:r>
      <w:r>
        <w:rPr>
          <w:rFonts w:ascii="仿宋_GB2312" w:eastAsia="仿宋_GB2312"/>
          <w:sz w:val="32"/>
          <w:szCs w:val="32"/>
        </w:rPr>
        <w:t>公务用车购置及运行维护费支出；公务接待费支出0.00万元，占0.00%，与上年相比无变化，主要原因是：我单位</w:t>
      </w:r>
      <w:r>
        <w:rPr>
          <w:rFonts w:hint="eastAsia" w:ascii="仿宋_GB2312" w:eastAsia="仿宋_GB2312"/>
          <w:sz w:val="32"/>
          <w:szCs w:val="32"/>
          <w:lang w:val="en-US" w:eastAsia="zh-CN"/>
        </w:rPr>
        <w:t>2023年度与2024年度均未安排</w:t>
      </w:r>
      <w:r>
        <w:rPr>
          <w:rFonts w:ascii="仿宋_GB2312" w:eastAsia="仿宋_GB2312"/>
          <w:sz w:val="32"/>
          <w:szCs w:val="32"/>
        </w:rPr>
        <w:t>公务接待费支出。</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r>
        <w:rPr>
          <w:rFonts w:ascii="仿宋_GB2312" w:eastAsia="仿宋_GB2312"/>
          <w:sz w:val="32"/>
          <w:szCs w:val="32"/>
        </w:rPr>
        <w:t>具体情况如下：</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因公出国（境）费支出0.00万元，开支内容包括我单位无因公出国（境）费支出。单位全年安排的因公出国（境）团组0个，因公出国（境）0人次。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1辆，与公务用车保有量差异原因是：我单位车辆为其他用车，经费支出来源为事业收入。</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公务接待费0.00万元，开支内容包括我单位无公务接待费。单位全年安排的国内公务接待0批次，0人次。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与全年预算相比，财政拨款“三公”经费支出全年预算数0.00万元，决算数0.00万元，预决算差异率0.00%，主要原因是：我单位</w:t>
      </w:r>
      <w:r>
        <w:rPr>
          <w:rFonts w:hint="eastAsia" w:ascii="仿宋_GB2312" w:eastAsia="仿宋_GB2312"/>
          <w:sz w:val="32"/>
          <w:szCs w:val="32"/>
          <w:lang w:val="en-US" w:eastAsia="zh-CN"/>
        </w:rPr>
        <w:t>2023年度与2024年度均未安排</w:t>
      </w:r>
      <w:r>
        <w:rPr>
          <w:rFonts w:ascii="仿宋_GB2312" w:eastAsia="仿宋_GB2312"/>
          <w:sz w:val="32"/>
          <w:szCs w:val="32"/>
        </w:rPr>
        <w:t>财政拨款“三公”经费支出。其中：因公出国（境）费全年预算数0.00万元，决算数0.00万元，预决算差异率0.00%，主要原因是：我单位</w:t>
      </w:r>
      <w:r>
        <w:rPr>
          <w:rFonts w:hint="eastAsia" w:ascii="仿宋_GB2312" w:eastAsia="仿宋_GB2312"/>
          <w:sz w:val="32"/>
          <w:szCs w:val="32"/>
          <w:lang w:val="en-US" w:eastAsia="zh-CN"/>
        </w:rPr>
        <w:t>2023年度与2024年度均未安排</w:t>
      </w:r>
      <w:r>
        <w:rPr>
          <w:rFonts w:ascii="仿宋_GB2312" w:eastAsia="仿宋_GB2312"/>
          <w:sz w:val="32"/>
          <w:szCs w:val="32"/>
        </w:rPr>
        <w:t>因公出国（境）费支出；公务用车购置费全年预算数0.00万元，决算数0.00万元，预决算差异率0.00%，主要原因是：我单位</w:t>
      </w:r>
      <w:r>
        <w:rPr>
          <w:rFonts w:hint="eastAsia" w:ascii="仿宋_GB2312" w:eastAsia="仿宋_GB2312"/>
          <w:sz w:val="32"/>
          <w:szCs w:val="32"/>
          <w:lang w:val="en-US" w:eastAsia="zh-CN"/>
        </w:rPr>
        <w:t>2023年度与2024年度均未安排</w:t>
      </w:r>
      <w:r>
        <w:rPr>
          <w:rFonts w:ascii="仿宋_GB2312" w:eastAsia="仿宋_GB2312"/>
          <w:sz w:val="32"/>
          <w:szCs w:val="32"/>
        </w:rPr>
        <w:t>公务用车购置费支出；公务用车运行维护费全年预算数0.00万元，决算数0.00万元，预决算差异率0.00%，主要原因是：我单位</w:t>
      </w:r>
      <w:r>
        <w:rPr>
          <w:rFonts w:hint="eastAsia" w:ascii="仿宋_GB2312" w:eastAsia="仿宋_GB2312"/>
          <w:sz w:val="32"/>
          <w:szCs w:val="32"/>
          <w:lang w:val="en-US" w:eastAsia="zh-CN"/>
        </w:rPr>
        <w:t>2023年度与2024年度均未安排</w:t>
      </w:r>
      <w:r>
        <w:rPr>
          <w:rFonts w:ascii="仿宋_GB2312" w:eastAsia="仿宋_GB2312"/>
          <w:sz w:val="32"/>
          <w:szCs w:val="32"/>
        </w:rPr>
        <w:t>公务用车运行维护费支出；公务接待费全年预算数0.00万元，决算数0.00万元，预决算差异率0.00%，主要原因是：我单位</w:t>
      </w:r>
      <w:r>
        <w:rPr>
          <w:rFonts w:hint="eastAsia" w:ascii="仿宋_GB2312" w:eastAsia="仿宋_GB2312"/>
          <w:sz w:val="32"/>
          <w:szCs w:val="32"/>
          <w:lang w:val="en-US" w:eastAsia="zh-CN"/>
        </w:rPr>
        <w:t>2023年度与2024年度均未安排</w:t>
      </w:r>
      <w:r>
        <w:rPr>
          <w:rFonts w:ascii="仿宋_GB2312" w:eastAsia="仿宋_GB2312"/>
          <w:sz w:val="32"/>
          <w:szCs w:val="32"/>
        </w:rPr>
        <w:t>公务接待费支出。</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2024年度新疆维吾尔自治区煤炭科学研究所单位（事业单位）公用经费支出49.19万元，比上年减少11.31万元，下降18.69%，主要原因是：在职人员减少导致公用经费支出减少。</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2024年度政府采购支出总额144.44万元，其中：政府采购货物支出144.44万元、政府采购工程支出0.00万元、政府采购服务支出0.00万元。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授予中小企业合同金额144.44万元，占政府采购支出总额的100.00%，其中：授予小微企业合同金额144.44万元，占政府采购支出总额的100.00%。</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截至2024年12月31日，房屋5,467.09平方米，价值186.42万元。车辆1辆，价值30.87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根据预算绩效管理要求，本单位2024年度预算绩效评价项目1个，全年预算数800.00万元，全年执行数800.00万元，预算绩效管理取得的成效：一是健全绩效管理工作机制，明确职责分工，二是做好事前目标绩效编制并及时报送；发现的问题及原因：一是预算绩效理念不深入，二是绩效管理专业人员匮乏，规范管理有盲点；下一步改进措施：一是制定明确的目标和指标，二是加强预算执行监管。具体附项目支出绩效自评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十二、其他需说明的事项</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第三部分</w:t>
      </w:r>
      <w:r>
        <w:rPr>
          <w:rFonts w:hint="default" w:ascii="黑体" w:eastAsia="黑体"/>
          <w:sz w:val="32"/>
          <w:szCs w:val="32"/>
          <w:lang w:val="en-US"/>
        </w:rPr>
        <w:t xml:space="preserve"> </w:t>
      </w:r>
      <w:r>
        <w:rPr>
          <w:rFonts w:ascii="黑体" w:eastAsia="黑体"/>
          <w:sz w:val="32"/>
          <w:szCs w:val="32"/>
        </w:rPr>
        <w:t>专业名词解释</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第四部分</w:t>
      </w:r>
      <w:r>
        <w:rPr>
          <w:rFonts w:hint="default" w:ascii="黑体" w:eastAsia="黑体"/>
          <w:sz w:val="32"/>
          <w:szCs w:val="32"/>
          <w:lang w:val="en-US"/>
        </w:rPr>
        <w:t xml:space="preserve"> </w:t>
      </w:r>
      <w:bookmarkStart w:id="0" w:name="_GoBack"/>
      <w:bookmarkEnd w:id="0"/>
      <w:r>
        <w:rPr>
          <w:rFonts w:ascii="黑体" w:eastAsia="黑体"/>
          <w:sz w:val="32"/>
          <w:szCs w:val="32"/>
        </w:rPr>
        <w:t>部门决算报表（见附表）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一、《收入支出决算总表》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二、《收入决算表》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三、《支出决算表》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roman"/>
    <w:pitch w:val="default"/>
    <w:sig w:usb0="00000000" w:usb1="00000000" w:usb2="00000016" w:usb3="00000000" w:csb0="0004000F" w:csb1="00000000"/>
  </w:font>
  <w:font w:name="仿宋_GB2312">
    <w:panose1 w:val="02010609030101010101"/>
    <w:charset w:val="86"/>
    <w:family w:val="roman"/>
    <w:pitch w:val="default"/>
    <w:sig w:usb0="00000001" w:usb1="080E0000" w:usb2="00000000" w:usb3="00000000" w:csb0="00040000" w:csb1="00000000"/>
  </w:font>
  <w:font w:name="等线 Light">
    <w:altName w:val="Olympic Beijing Picto"/>
    <w:panose1 w:val="00000000000000000000"/>
    <w:charset w:val="00"/>
    <w:family w:val="auto"/>
    <w:pitch w:val="default"/>
    <w:sig w:usb0="00000000" w:usb1="00000000" w:usb2="00000000" w:usb3="00000000" w:csb0="00000000" w:csb1="00000000"/>
  </w:font>
  <w:font w:name="Olympic Beijing Picto">
    <w:panose1 w:val="02000500000000000000"/>
    <w:charset w:val="00"/>
    <w:family w:val="auto"/>
    <w:pitch w:val="default"/>
    <w:sig w:usb0="800000A7" w:usb1="5000004A" w:usb2="00000000" w:usb3="00000000" w:csb0="20000111" w:csb1="41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E38"/>
    <w:rsid w:val="001470EE"/>
    <w:rsid w:val="00A57E38"/>
    <w:rsid w:val="00CF7EB1"/>
    <w:rsid w:val="13042B40"/>
    <w:rsid w:val="262E6657"/>
    <w:rsid w:val="2A5F7431"/>
    <w:rsid w:val="3748158D"/>
    <w:rsid w:val="439B6B91"/>
    <w:rsid w:val="63415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页眉 字符"/>
    <w:basedOn w:val="13"/>
    <w:link w:val="8"/>
    <w:qFormat/>
    <w:uiPriority w:val="99"/>
  </w:style>
  <w:style w:type="character" w:customStyle="1" w:styleId="17">
    <w:name w:val="标题 1 字符"/>
    <w:basedOn w:val="13"/>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19">
    <w:name w:val="标题 3 字符"/>
    <w:basedOn w:val="13"/>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0">
    <w:name w:val="标题 4 字符"/>
    <w:basedOn w:val="13"/>
    <w:link w:val="5"/>
    <w:qFormat/>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1">
    <w:name w:val="副标题 字符"/>
    <w:basedOn w:val="13"/>
    <w:link w:val="9"/>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2">
    <w:name w:val="标题 字符"/>
    <w:basedOn w:val="13"/>
    <w:link w:val="10"/>
    <w:qFormat/>
    <w:uiPriority w:val="10"/>
    <w:rPr>
      <w:rFonts w:asciiTheme="majorHAnsi" w:hAnsiTheme="majorHAnsi" w:eastAsiaTheme="majorEastAsia" w:cstheme="majorBidi"/>
      <w:color w:val="333F50"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xb21cn</Company>
  <Pages>12</Pages>
  <Words>720</Words>
  <Characters>723</Characters>
  <Lines>38</Lines>
  <Paragraphs>10</Paragraphs>
  <TotalTime>2</TotalTime>
  <ScaleCrop>false</ScaleCrop>
  <LinksUpToDate>false</LinksUpToDate>
  <CharactersWithSpaces>723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2025-08-19T04:56:00Z</dcterms:created>
  <dc:creator>cws</dc:creator>
  <cp:lastModifiedBy>Administrator</cp:lastModifiedBy>
  <dcterms:modified xsi:type="dcterms:W3CDTF">2025-08-25T11:59:40Z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eyJoZGlkIjoiYjUyNDVjMmYxNWVkYjhmYWE3ZThmY2M0Zjc3Nzk0NzciLCJ1c2VySWQiOiI1ODk1MjU3ODgifQ==</vt:lpwstr>
  </property>
  <property fmtid="{D5CDD505-2E9C-101B-9397-08002B2CF9AE}" pid="3" name="KSOProductBuildVer">
    <vt:lpwstr>2052-11.8.2.10912</vt:lpwstr>
  </property>
  <property fmtid="{D5CDD505-2E9C-101B-9397-08002B2CF9AE}" pid="4" name="ICV">
    <vt:lpwstr>A3DFE348C69348C6A3F3762189D023D4_12</vt:lpwstr>
  </property>
</Properties>
</file>