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ascii="宋体" w:eastAsia="宋体"/>
          <w:sz w:val="32"/>
          <w:szCs w:val="32"/>
        </w:rPr>
      </w:pPr>
    </w:p>
    <w:p>
      <w:pPr>
        <w:spacing w:line="240" w:lineRule="auto"/>
        <w:rPr>
          <w:rFonts w:ascii="宋体" w:eastAsia="宋体"/>
          <w:sz w:val="44"/>
          <w:szCs w:val="44"/>
        </w:rPr>
      </w:pPr>
    </w:p>
    <w:p>
      <w:pPr>
        <w:spacing w:line="240" w:lineRule="auto"/>
        <w:rPr>
          <w:rFonts w:ascii="宋体" w:eastAsia="宋体"/>
          <w:sz w:val="44"/>
          <w:szCs w:val="44"/>
        </w:rPr>
      </w:pPr>
    </w:p>
    <w:p>
      <w:pPr>
        <w:spacing w:line="240" w:lineRule="auto"/>
        <w:rPr>
          <w:rFonts w:ascii="宋体" w:eastAsia="宋体"/>
          <w:sz w:val="44"/>
          <w:szCs w:val="44"/>
        </w:rPr>
      </w:pPr>
    </w:p>
    <w:p>
      <w:pPr>
        <w:spacing w:line="240" w:lineRule="auto"/>
        <w:jc w:val="center"/>
        <w:outlineLvl w:val="0"/>
        <w:rPr>
          <w:rFonts w:ascii="宋体" w:eastAsia="黑体"/>
          <w:sz w:val="44"/>
          <w:szCs w:val="44"/>
          <w:lang w:eastAsia="zh-CN"/>
        </w:rPr>
      </w:pPr>
      <w:r>
        <w:rPr>
          <w:rFonts w:ascii="宋体" w:eastAsia="黑体"/>
          <w:sz w:val="44"/>
          <w:szCs w:val="44"/>
          <w:lang w:eastAsia="zh-CN"/>
        </w:rPr>
        <w:t>新疆维吾尔自治区国际人才交流合作中心</w:t>
      </w:r>
    </w:p>
    <w:p>
      <w:pPr>
        <w:spacing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pPr>
        <w:rPr>
          <w:lang w:eastAsia="zh-CN"/>
        </w:rPr>
      </w:pPr>
      <w:r>
        <w:rPr>
          <w:sz w:val="0"/>
          <w:szCs w:val="0"/>
          <w:lang w:eastAsia="zh-CN"/>
        </w:rPr>
        <w:br w:type="page"/>
      </w:r>
    </w:p>
    <w:p>
      <w:pPr>
        <w:spacing w:line="240" w:lineRule="auto"/>
        <w:jc w:val="center"/>
        <w:rPr>
          <w:rFonts w:ascii="黑体" w:eastAsia="黑体"/>
          <w:sz w:val="32"/>
          <w:szCs w:val="32"/>
          <w:lang w:eastAsia="zh-CN"/>
        </w:rPr>
      </w:pPr>
      <w:r>
        <w:rPr>
          <w:rFonts w:ascii="黑体" w:eastAsia="黑体"/>
          <w:b/>
          <w:sz w:val="32"/>
          <w:szCs w:val="32"/>
          <w:lang w:eastAsia="zh-CN"/>
        </w:rPr>
        <w:t>目  录</w:t>
      </w:r>
    </w:p>
    <w:p>
      <w:pPr>
        <w:spacing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hint="default" w:ascii="仿宋_GB2312" w:eastAsia="仿宋_GB2312"/>
          <w:b/>
          <w:sz w:val="32"/>
          <w:szCs w:val="32"/>
          <w:lang w:val="en-US" w:eastAsia="zh-CN"/>
        </w:rPr>
        <w:t xml:space="preserve"> </w:t>
      </w:r>
      <w:r>
        <w:rPr>
          <w:rFonts w:ascii="仿宋_GB2312" w:eastAsia="仿宋_GB2312"/>
          <w:b/>
          <w:sz w:val="32"/>
          <w:szCs w:val="32"/>
          <w:lang w:eastAsia="zh-CN"/>
        </w:rPr>
        <w:t>单位概况</w:t>
      </w:r>
    </w:p>
    <w:p>
      <w:pPr>
        <w:spacing w:line="240" w:lineRule="auto"/>
        <w:rPr>
          <w:rFonts w:ascii="仿宋_GB2312" w:eastAsia="仿宋_GB2312"/>
          <w:sz w:val="32"/>
          <w:szCs w:val="32"/>
          <w:lang w:eastAsia="zh-CN"/>
        </w:rPr>
      </w:pPr>
      <w:r>
        <w:rPr>
          <w:rFonts w:ascii="仿宋_GB2312" w:eastAsia="仿宋_GB2312"/>
          <w:sz w:val="32"/>
          <w:szCs w:val="32"/>
          <w:lang w:eastAsia="zh-CN"/>
        </w:rPr>
        <w:t>一、主要职能</w:t>
      </w:r>
    </w:p>
    <w:p>
      <w:pPr>
        <w:spacing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pPr>
        <w:spacing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pPr>
        <w:spacing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pPr>
        <w:spacing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pPr>
        <w:spacing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pPr>
        <w:spacing w:line="240" w:lineRule="auto"/>
        <w:rPr>
          <w:rFonts w:ascii="仿宋_GB2312" w:eastAsia="仿宋_GB2312"/>
          <w:sz w:val="32"/>
          <w:szCs w:val="32"/>
          <w:lang w:eastAsia="zh-CN"/>
        </w:rPr>
      </w:pPr>
      <w:r>
        <w:rPr>
          <w:rFonts w:ascii="仿宋_GB2312" w:eastAsia="仿宋_GB2312"/>
          <w:sz w:val="32"/>
          <w:szCs w:val="32"/>
          <w:lang w:eastAsia="zh-CN"/>
        </w:rPr>
        <w:t>（二）政府采购情况</w:t>
      </w:r>
    </w:p>
    <w:p>
      <w:pPr>
        <w:spacing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pPr>
        <w:spacing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pPr>
        <w:spacing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pPr>
        <w:spacing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pPr>
        <w:spacing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pPr>
        <w:spacing w:line="240" w:lineRule="auto"/>
        <w:rPr>
          <w:rFonts w:ascii="仿宋_GB2312" w:eastAsia="仿宋_GB2312"/>
          <w:sz w:val="32"/>
          <w:szCs w:val="32"/>
          <w:lang w:eastAsia="zh-CN"/>
        </w:rPr>
      </w:pPr>
      <w:r>
        <w:rPr>
          <w:rFonts w:ascii="仿宋_GB2312" w:eastAsia="仿宋_GB2312"/>
          <w:sz w:val="32"/>
          <w:szCs w:val="32"/>
          <w:lang w:eastAsia="zh-CN"/>
        </w:rPr>
        <w:t>二、《收入决算表》</w:t>
      </w:r>
    </w:p>
    <w:p>
      <w:pPr>
        <w:spacing w:line="240" w:lineRule="auto"/>
        <w:rPr>
          <w:rFonts w:ascii="仿宋_GB2312" w:eastAsia="仿宋_GB2312"/>
          <w:sz w:val="32"/>
          <w:szCs w:val="32"/>
          <w:lang w:eastAsia="zh-CN"/>
        </w:rPr>
      </w:pPr>
      <w:r>
        <w:rPr>
          <w:rFonts w:ascii="仿宋_GB2312" w:eastAsia="仿宋_GB2312"/>
          <w:sz w:val="32"/>
          <w:szCs w:val="32"/>
          <w:lang w:eastAsia="zh-CN"/>
        </w:rPr>
        <w:t>三、《支出决算表》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pPr>
        <w:spacing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spacing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pPr>
        <w:rPr>
          <w:lang w:eastAsia="zh-CN"/>
        </w:rPr>
      </w:pPr>
      <w:r>
        <w:rPr>
          <w:sz w:val="0"/>
          <w:szCs w:val="0"/>
          <w:lang w:eastAsia="zh-CN"/>
        </w:rPr>
        <w:br w:type="page"/>
      </w:r>
    </w:p>
    <w:p>
      <w:pPr>
        <w:spacing w:line="560" w:lineRule="exact"/>
        <w:jc w:val="center"/>
        <w:outlineLvl w:val="0"/>
        <w:rPr>
          <w:rFonts w:ascii="黑体" w:eastAsia="黑体"/>
          <w:sz w:val="32"/>
          <w:szCs w:val="32"/>
          <w:lang w:eastAsia="zh-CN"/>
        </w:rPr>
      </w:pPr>
      <w:r>
        <w:rPr>
          <w:rFonts w:ascii="黑体" w:eastAsia="黑体"/>
          <w:sz w:val="32"/>
          <w:szCs w:val="32"/>
          <w:lang w:eastAsia="zh-CN"/>
        </w:rPr>
        <w:t>第一部分 单位概况</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 一、主要职能</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开展国际人才交流合作，促进科技发展。承担自治区有关国外引智成果收集、推广等工作。</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新疆维吾尔自治区国际人才交流合作中心2024年度，实有人数6人，其中：在职人员6人，较上年无变化；离休人员0人，较上年无变化；退休人员0人，较上年无变化；</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新疆维吾尔自治区国际人才交流合作中心无下属预算单位，下设1个科室，分别是：新疆维吾尔自治区国际人才交流合作中心。</w:t>
      </w:r>
    </w:p>
    <w:p>
      <w:pPr>
        <w:spacing w:line="560" w:lineRule="exact"/>
        <w:rPr>
          <w:lang w:eastAsia="zh-CN"/>
        </w:rPr>
      </w:pPr>
      <w:r>
        <w:rPr>
          <w:sz w:val="0"/>
          <w:szCs w:val="0"/>
          <w:lang w:eastAsia="zh-CN"/>
        </w:rPr>
        <w:br w:type="page"/>
      </w:r>
    </w:p>
    <w:p>
      <w:pPr>
        <w:spacing w:line="560" w:lineRule="exact"/>
        <w:jc w:val="center"/>
        <w:outlineLvl w:val="0"/>
        <w:rPr>
          <w:rFonts w:ascii="黑体" w:eastAsia="黑体"/>
          <w:sz w:val="32"/>
          <w:szCs w:val="32"/>
          <w:lang w:eastAsia="zh-CN"/>
        </w:rPr>
      </w:pPr>
      <w:r>
        <w:rPr>
          <w:rFonts w:ascii="黑体" w:eastAsia="黑体"/>
          <w:sz w:val="32"/>
          <w:szCs w:val="32"/>
          <w:lang w:eastAsia="zh-CN"/>
        </w:rPr>
        <w:t>第二部分 部门决算情况说明</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2024年度收入总计133.37万元，其中：本年收入合计133.37万元，使用非财政拨款结余（含专用结余）0.00万元，年初结转和结余0.00万元。</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2024年度支出总计133.37万元，其中：本年支出合计133.35万元，结余分配0.02万元，年末结转和结余0.00万元。</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收入支出总体与上年相比，增加9.39万元，增长7.57%，主要原因是：人员经费政策性增资，财政拨款收入较上年增加。</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本年收入133.37万元，其中：财政拨款收入133.35万元,占99.99%；上级补助收入0.00万元,占0.00%；事业收入0.00万元，占0.00%；经营收入0.00万元,占0.00%；附属单位上缴收入0.00万元，占0.00%；其他收入0.02万元，占0.01%。</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本年支出133.35万元，其中：基本支出133.35万元，占100.00%；项目支出0.00万元，占0.00%；上缴上级支出0.00万元，占0.00%；经营支出0.00万元，占0.00%；对附属单位补助支出0.00万元，占0.00%。</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2024年度财政拨款收入总计133.35万元，其中：年初财政拨款结转和结余0.00万元，本年财政拨款收入133.35万元。财政拨款支出总计133.35万元，其中：年末财政拨款结转和结余0.00万元，本年财政拨款支出133.35万元。</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9.45万元，增长7.63%，主要原因是：人员经费政策性增资，财政拨款收入较上年增加。与年初预算相比，年初预算数124.22万元，决算数133.35万元，预决算差异率7.35%，主要原因是：人员经费政策性增资，财政拨款收入较上年增加。</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pPr>
        <w:spacing w:line="560" w:lineRule="exact"/>
        <w:ind w:firstLine="643" w:firstLineChars="200"/>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133.35万元，占本年支出合计的100.00%。与上年相比，增加9.45万元，增长7.63%，主要原因是：人员经费政策性增资，财政拨款收入较上年增加。与年初预算相比，年初预算数124.22万元，决算数133.35万元，预决算差异率7.35%，主要原因是：人员经费政策性增资，财政拨款收入较上年增加。</w:t>
      </w:r>
    </w:p>
    <w:p>
      <w:pPr>
        <w:spacing w:line="560" w:lineRule="exact"/>
        <w:ind w:firstLine="643" w:firstLineChars="200"/>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科学技术支出（类）133.35万元，占100.00%。</w:t>
      </w:r>
    </w:p>
    <w:p>
      <w:pPr>
        <w:spacing w:line="560" w:lineRule="exact"/>
        <w:ind w:firstLine="643" w:firstLineChars="200"/>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pPr>
        <w:spacing w:line="560" w:lineRule="exact"/>
        <w:ind w:firstLine="640" w:firstLineChars="200"/>
        <w:rPr>
          <w:rFonts w:ascii="仿宋_GB2312" w:eastAsia="仿宋_GB2312"/>
          <w:sz w:val="32"/>
          <w:szCs w:val="32"/>
          <w:lang w:eastAsia="zh-CN"/>
        </w:rPr>
      </w:pPr>
      <w:r>
        <w:rPr>
          <w:rFonts w:ascii="仿宋_GB2312" w:eastAsia="仿宋_GB2312"/>
          <w:sz w:val="32"/>
          <w:szCs w:val="32"/>
          <w:lang w:eastAsia="zh-CN"/>
        </w:rPr>
        <w:t>1、科学技术支出（类）应用研究（款）机构运行（项）：支出决算数为133.35万元，比上年决算增加9.45万元，增长7.63%，主要原因是：人员经费政策性增资，财政拨款收入较上年增加。</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133.35万元，其中：人员经费126.40万元，包括：基本工资、津贴补贴、奖金、绩效工资、机关事业单位基本养老保险缴费、职工基本医疗保险缴费、公务员医疗补助缴费、其他社会保障缴费和住房公积金。</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公用经费6.95万元，包括：办公费、差旅费、工会经费和福利费。</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本单位2023年度与2024年度均未安排此项经费。其中：因公出国（境）费支出0.00万元,占0.00%，与上年相比无变化，主要原因是：本单位2023年度与2024年度均未安排因公出国（境）费；公务用车购置及运行维护费支出0.00万元，占0.00%，与上年相比无变化，主要原因是：本单位2023年度与2024年度均未安排公务用车购置及运行维护费；公务接待费支出0.00万元，占0.00%，与上年相比无变化，主要原因是：本单位2023年度与2024年度均未安排公务接待费。</w:t>
      </w:r>
    </w:p>
    <w:p>
      <w:pPr>
        <w:spacing w:line="560" w:lineRule="exact"/>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因公出国（境）费支出0.00万元，开支内容包括本单位无因公出国（境）费。单位全年安排的因公出国（境）团组0个，因公出国（境）0人次。</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本单位无公务用车购置及运行维护费。公务用车购置数0辆，公务用车保有量0辆。国有资产占用情况中固定资产车辆0辆，与公务用车保有量差异原因是：本单位无差异。</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公务接待费0.00万元，开支内容包括本单位无公务接待费。单位全年安排的国内公务接待0批次，0人次。</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本单位无此项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购置及运行维护费；公务接待费全年预算数0.00万元，决算数0.00万元，预决算差异率0.00%，主要原因是：本单位无公务接待费。</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pPr>
        <w:spacing w:line="560" w:lineRule="exact"/>
        <w:ind w:firstLine="643" w:firstLineChars="200"/>
        <w:outlineLvl w:val="2"/>
        <w:rPr>
          <w:rFonts w:ascii="黑体" w:eastAsia="黑体"/>
          <w:sz w:val="32"/>
          <w:szCs w:val="32"/>
          <w:lang w:eastAsia="zh-CN"/>
        </w:rPr>
      </w:pPr>
      <w:r>
        <w:rPr>
          <w:rFonts w:ascii="黑体" w:eastAsia="黑体"/>
          <w:b/>
          <w:sz w:val="32"/>
          <w:szCs w:val="32"/>
          <w:lang w:eastAsia="zh-CN"/>
        </w:rPr>
        <w:t>（一）机关运行经费及公用经费支出情况</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2024年度新疆维吾尔自治区国际人才交流合作中心单位​（事业单位）公用经费支出6.95万元，比上年减少0.57万元，下降7.58%，主要原因是：厉行节约，减少非必要支出。</w:t>
      </w:r>
    </w:p>
    <w:p>
      <w:pPr>
        <w:spacing w:line="560" w:lineRule="exact"/>
        <w:ind w:firstLine="643" w:firstLineChars="200"/>
        <w:outlineLvl w:val="2"/>
        <w:rPr>
          <w:rFonts w:ascii="黑体" w:eastAsia="黑体"/>
          <w:sz w:val="32"/>
          <w:szCs w:val="32"/>
          <w:lang w:eastAsia="zh-CN"/>
        </w:rPr>
      </w:pPr>
      <w:r>
        <w:rPr>
          <w:rFonts w:ascii="黑体" w:eastAsia="黑体"/>
          <w:b/>
          <w:sz w:val="32"/>
          <w:szCs w:val="32"/>
          <w:lang w:eastAsia="zh-CN"/>
        </w:rPr>
        <w:t>（二）政府采购情况</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pPr>
        <w:spacing w:line="560" w:lineRule="exact"/>
        <w:ind w:firstLine="643" w:firstLineChars="200"/>
        <w:outlineLvl w:val="2"/>
        <w:rPr>
          <w:rFonts w:ascii="黑体" w:eastAsia="黑体"/>
          <w:sz w:val="32"/>
          <w:szCs w:val="32"/>
          <w:lang w:eastAsia="zh-CN"/>
        </w:rPr>
      </w:pPr>
      <w:r>
        <w:rPr>
          <w:rFonts w:ascii="黑体" w:eastAsia="黑体"/>
          <w:b/>
          <w:sz w:val="32"/>
          <w:szCs w:val="32"/>
          <w:lang w:eastAsia="zh-CN"/>
        </w:rPr>
        <w:t>（三）国有资产占用情况说明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pPr>
        <w:spacing w:line="56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评价项目0个，全年预算数0.00万元，全年执行数0.00万元。预算绩效管理取得的成效：本单位无预算绩效。发现的问题及原因：本单位无预算绩效。下一步改进措施：本单位无预算绩效。具体附项目支出绩效自评表。</w:t>
      </w:r>
    </w:p>
    <w:p>
      <w:pPr>
        <w:spacing w:line="560" w:lineRule="exact"/>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atLeast"/>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default"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lang w:val="en-US" w:eastAsia="zh-CN"/>
        </w:rPr>
        <w:t>年度本单位政府采购支出总额为</w:t>
      </w:r>
      <w:r>
        <w:rPr>
          <w:rFonts w:hint="default"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lang w:val="en-US" w:eastAsia="zh-CN"/>
        </w:rPr>
        <w:t>万元，授予中小企业合同金额、授予小微企业合同金额</w:t>
      </w:r>
      <w:r>
        <w:rPr>
          <w:rFonts w:hint="default" w:ascii="仿宋_GB2312" w:hAnsi="仿宋_GB2312" w:eastAsia="仿宋_GB2312" w:cs="仿宋_GB2312"/>
          <w:color w:val="auto"/>
          <w:kern w:val="0"/>
          <w:sz w:val="32"/>
          <w:szCs w:val="32"/>
          <w:highlight w:val="none"/>
          <w:lang w:val="en-US" w:eastAsia="zh-CN"/>
        </w:rPr>
        <w:t>0.00</w:t>
      </w:r>
      <w:r>
        <w:rPr>
          <w:rFonts w:hint="eastAsia" w:ascii="仿宋_GB2312" w:hAnsi="仿宋_GB2312" w:eastAsia="仿宋_GB2312" w:cs="仿宋_GB2312"/>
          <w:color w:val="auto"/>
          <w:kern w:val="0"/>
          <w:sz w:val="32"/>
          <w:szCs w:val="32"/>
          <w:highlight w:val="none"/>
          <w:lang w:val="en-US" w:eastAsia="zh-CN"/>
        </w:rPr>
        <w:t>万元。</w:t>
      </w:r>
    </w:p>
    <w:p>
      <w:pPr>
        <w:spacing w:line="560" w:lineRule="exact"/>
        <w:ind w:firstLine="640" w:firstLineChars="200"/>
        <w:rPr>
          <w:rFonts w:ascii="仿宋_GB2312" w:eastAsia="仿宋_GB2312"/>
          <w:sz w:val="32"/>
          <w:szCs w:val="32"/>
          <w:lang w:eastAsia="zh-CN"/>
        </w:rPr>
      </w:pPr>
      <w:bookmarkStart w:id="0" w:name="_GoBack"/>
      <w:bookmarkEnd w:id="0"/>
    </w:p>
    <w:p>
      <w:pPr>
        <w:spacing w:line="560" w:lineRule="exact"/>
        <w:rPr>
          <w:lang w:eastAsia="zh-CN"/>
        </w:rPr>
      </w:pPr>
      <w:r>
        <w:rPr>
          <w:sz w:val="0"/>
          <w:szCs w:val="0"/>
          <w:lang w:eastAsia="zh-CN"/>
        </w:rPr>
        <w:br w:type="page"/>
      </w:r>
    </w:p>
    <w:p>
      <w:pPr>
        <w:spacing w:line="560" w:lineRule="exact"/>
        <w:jc w:val="center"/>
        <w:outlineLvl w:val="0"/>
        <w:rPr>
          <w:rFonts w:ascii="黑体" w:eastAsia="黑体"/>
          <w:sz w:val="32"/>
          <w:szCs w:val="32"/>
          <w:lang w:eastAsia="zh-CN"/>
        </w:rPr>
      </w:pPr>
      <w:r>
        <w:rPr>
          <w:rFonts w:ascii="黑体" w:eastAsia="黑体"/>
          <w:sz w:val="32"/>
          <w:szCs w:val="32"/>
          <w:lang w:eastAsia="zh-CN"/>
        </w:rPr>
        <w:t>第三部分 专业名词解释</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560" w:lineRule="exact"/>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pPr>
        <w:spacing w:line="560" w:lineRule="exact"/>
        <w:rPr>
          <w:lang w:eastAsia="zh-CN"/>
        </w:rPr>
      </w:pPr>
      <w:r>
        <w:rPr>
          <w:sz w:val="0"/>
          <w:szCs w:val="0"/>
          <w:lang w:eastAsia="zh-CN"/>
        </w:rPr>
        <w:br w:type="page"/>
      </w:r>
    </w:p>
    <w:p>
      <w:pPr>
        <w:spacing w:line="560" w:lineRule="exact"/>
        <w:jc w:val="center"/>
        <w:outlineLvl w:val="0"/>
        <w:rPr>
          <w:rFonts w:ascii="黑体" w:eastAsia="黑体"/>
          <w:sz w:val="32"/>
          <w:szCs w:val="32"/>
          <w:lang w:eastAsia="zh-CN"/>
        </w:rPr>
      </w:pPr>
      <w:r>
        <w:rPr>
          <w:rFonts w:ascii="黑体" w:eastAsia="黑体"/>
          <w:sz w:val="32"/>
          <w:szCs w:val="32"/>
          <w:lang w:eastAsia="zh-CN"/>
        </w:rPr>
        <w:t>第四部分 部门决算报表（见附表）</w:t>
      </w:r>
    </w:p>
    <w:p>
      <w:pPr>
        <w:spacing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pPr>
        <w:spacing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pPr>
        <w:spacing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pPr>
        <w:spacing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pPr>
        <w:spacing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spacing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spacing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spacing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spacing w:line="560" w:lineRule="exact"/>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
  <w:rsids>
    <w:rsidRoot w:val="00657B67"/>
    <w:rsid w:val="00657B67"/>
    <w:rsid w:val="00812FEC"/>
    <w:rsid w:val="008960DF"/>
    <w:rsid w:val="00F30F04"/>
    <w:rsid w:val="3FC11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qFormat/>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页眉 Char"/>
    <w:basedOn w:val="13"/>
    <w:link w:val="8"/>
    <w:qFormat/>
    <w:uiPriority w:val="99"/>
  </w:style>
  <w:style w:type="character" w:customStyle="1" w:styleId="17">
    <w:name w:val="标题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标题 2 Char"/>
    <w:basedOn w:val="13"/>
    <w:link w:val="3"/>
    <w:uiPriority w:val="9"/>
    <w:rPr>
      <w:rFonts w:asciiTheme="majorHAnsi" w:hAnsiTheme="majorHAnsi" w:eastAsiaTheme="majorEastAsia" w:cstheme="majorBidi"/>
      <w:b/>
      <w:bCs/>
      <w:color w:val="4F81BD" w:themeColor="accent1"/>
      <w:sz w:val="26"/>
      <w:szCs w:val="26"/>
    </w:rPr>
  </w:style>
  <w:style w:type="character" w:customStyle="1" w:styleId="19">
    <w:name w:val="标题 3 Char"/>
    <w:basedOn w:val="13"/>
    <w:link w:val="4"/>
    <w:uiPriority w:val="9"/>
    <w:rPr>
      <w:rFonts w:asciiTheme="majorHAnsi" w:hAnsiTheme="majorHAnsi" w:eastAsiaTheme="majorEastAsia" w:cstheme="majorBidi"/>
      <w:b/>
      <w:bCs/>
      <w:color w:val="4F81BD" w:themeColor="accent1"/>
    </w:rPr>
  </w:style>
  <w:style w:type="character" w:customStyle="1" w:styleId="20">
    <w:name w:val="标题 4 Char"/>
    <w:basedOn w:val="13"/>
    <w:link w:val="5"/>
    <w:uiPriority w:val="9"/>
    <w:rPr>
      <w:rFonts w:asciiTheme="majorHAnsi" w:hAnsiTheme="majorHAnsi" w:eastAsiaTheme="majorEastAsia" w:cstheme="majorBidi"/>
      <w:b/>
      <w:bCs/>
      <w:i/>
      <w:iCs/>
      <w:color w:val="4F81BD" w:themeColor="accent1"/>
    </w:rPr>
  </w:style>
  <w:style w:type="character" w:customStyle="1" w:styleId="21">
    <w:name w:val="副标题 Char"/>
    <w:basedOn w:val="13"/>
    <w:link w:val="9"/>
    <w:uiPriority w:val="11"/>
    <w:rPr>
      <w:rFonts w:asciiTheme="majorHAnsi" w:hAnsiTheme="majorHAnsi" w:eastAsiaTheme="majorEastAsia" w:cstheme="majorBidi"/>
      <w:i/>
      <w:iCs/>
      <w:color w:val="4F81BD" w:themeColor="accent1"/>
      <w:spacing w:val="15"/>
      <w:sz w:val="24"/>
      <w:szCs w:val="24"/>
    </w:rPr>
  </w:style>
  <w:style w:type="character" w:customStyle="1" w:styleId="22">
    <w:name w:val="标题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722</Words>
  <Characters>4121</Characters>
  <Lines>34</Lines>
  <Paragraphs>9</Paragraphs>
  <TotalTime>0</TotalTime>
  <ScaleCrop>false</ScaleCrop>
  <LinksUpToDate>false</LinksUpToDate>
  <CharactersWithSpaces>4834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2025-08-22T03:17:00Z</dcterms:created>
  <dc:creator>Administrator</dc:creator>
  <cp:lastModifiedBy>Administrator</cp:lastModifiedBy>
  <dcterms:modified xsi:type="dcterms:W3CDTF">2025-08-25T10:25:45Z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55FD05F10C064888B54264CCFC139046</vt:lpwstr>
  </property>
</Properties>
</file>