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方正小标宋_GBK" w:eastAsia="方正小标宋_GBK" w:cs="方正小标宋_GBK"/>
          <w:b w:val="0"/>
          <w:sz w:val="44"/>
          <w:szCs w:val="44"/>
        </w:rPr>
      </w:pPr>
      <w:r>
        <w:rPr>
          <w:rFonts w:hint="eastAsia" w:ascii="方正小标宋_GBK" w:hAnsi="方正小标宋_GBK" w:eastAsia="方正小标宋_GBK" w:cs="方正小标宋_GBK"/>
          <w:b w:val="0"/>
          <w:sz w:val="44"/>
          <w:szCs w:val="44"/>
        </w:rPr>
        <w:t>新疆维吾尔自治区粮油科学研究所</w:t>
      </w:r>
    </w:p>
    <w:p>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方正小标宋_GBK" w:hAnsi="方正小标宋_GBK" w:eastAsia="方正小标宋_GBK" w:cs="方正小标宋_GBK"/>
          <w:b w:val="0"/>
          <w:sz w:val="44"/>
          <w:szCs w:val="44"/>
        </w:rPr>
      </w:pPr>
      <w:r>
        <w:rPr>
          <w:rFonts w:hint="eastAsia" w:ascii="方正小标宋_GBK" w:hAnsi="方正小标宋_GBK" w:eastAsia="方正小标宋_GBK" w:cs="方正小标宋_GBK"/>
          <w:b w:val="0"/>
          <w:sz w:val="44"/>
          <w:szCs w:val="44"/>
        </w:rPr>
        <w:t>2024年度部门决算公开说明</w:t>
      </w:r>
    </w:p>
    <w:p>
      <w:pPr>
        <w:widowControl/>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粮油科学研究所成立于1976年，隶属于自治区粮食和物资储备局，公益二类事业单位，经费由自治区科技厅主管，执行政府会计制度。宗旨和业务范围：承担新疆粮食行业基本建设和技术改造项目的综合配套设计任务，从事粮油、食品、饲料的生产、储存，检验病虫害防治等新工艺、新设备、新技术的研究和推广应用等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新疆维吾尔自治区粮油科学研究所2024年度，实有人数51人，其中：在职人员13人，较上年无变化；离休人员0人，较上年无变化；退休人员38人，较上年无变化；</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新疆维吾尔自治区粮油科学研究所无下属预算单位，下设3个</w:t>
      </w:r>
      <w:r>
        <w:rPr>
          <w:rFonts w:hint="eastAsia" w:ascii="仿宋_GB2312" w:eastAsia="仿宋_GB2312"/>
          <w:b w:val="0"/>
          <w:sz w:val="32"/>
          <w:szCs w:val="32"/>
          <w:lang w:val="en-US" w:eastAsia="zh-CN"/>
        </w:rPr>
        <w:t>科</w:t>
      </w:r>
      <w:r>
        <w:rPr>
          <w:rFonts w:ascii="仿宋_GB2312" w:eastAsia="仿宋_GB2312"/>
          <w:b w:val="0"/>
          <w:sz w:val="32"/>
          <w:szCs w:val="32"/>
        </w:rPr>
        <w:t>室，分别是：综合办公室、粮食安全与产业发展研究室、技术应用与推广室。</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2024年度收入总计814.83万元，其中：本年收入合计549.50万元，使用非财政拨款结余（含专用结余）0.00万元，年初结转和结余265.32万元。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2024年度支出总计814.83万元，其中：本年支出合计478.40万元，结余分配0.00万元，年末结转和结余336.43万元。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收入支出总体与上年相比，增加156.90万元，增长23.85%，主要原因是：2024年</w:t>
      </w:r>
      <w:r>
        <w:rPr>
          <w:rFonts w:hint="eastAsia" w:ascii="仿宋_GB2312" w:eastAsia="仿宋_GB2312"/>
          <w:b w:val="0"/>
          <w:sz w:val="32"/>
          <w:szCs w:val="32"/>
          <w:lang w:eastAsia="zh-CN"/>
        </w:rPr>
        <w:t>立项的</w:t>
      </w:r>
      <w:r>
        <w:rPr>
          <w:rFonts w:ascii="仿宋_GB2312" w:eastAsia="仿宋_GB2312"/>
          <w:b w:val="0"/>
          <w:sz w:val="32"/>
          <w:szCs w:val="32"/>
        </w:rPr>
        <w:t>科研项目增加,</w:t>
      </w:r>
      <w:r>
        <w:rPr>
          <w:rFonts w:hint="eastAsia" w:ascii="仿宋_GB2312" w:eastAsia="仿宋_GB2312"/>
          <w:b w:val="0"/>
          <w:sz w:val="32"/>
          <w:szCs w:val="32"/>
          <w:lang w:eastAsia="zh-CN"/>
        </w:rPr>
        <w:t>使得其他</w:t>
      </w:r>
      <w:r>
        <w:rPr>
          <w:rFonts w:ascii="仿宋_GB2312" w:eastAsia="仿宋_GB2312"/>
          <w:b w:val="0"/>
          <w:sz w:val="32"/>
          <w:szCs w:val="32"/>
        </w:rPr>
        <w:t>收入与上年相比增长较大。</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本年收入549.50万元，其中：财政拨款收入339.07万元,占61.71%；上级补助收入0.00万元,占0.00%；事业收入87.54万元，占15.93%；经营收入0.00万元,占0.00%；附属单位上缴收入0.00万元，占0.00%；其他收入122.89万元，占22.36%。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本年支出478.40万元，其中：基本支出299.32万元，占62.57%；项目支出179.07万元，占37.43%；上缴上级支出0.00万元，占0.00%；经营支出0.00万元，占0.00%；对附属单位补助支出0.00万元，占0.00%。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2024年度财政拨款收入总计339.07万元，其中：年初财政拨款结转和结余0.00万元，本年财政拨款收入339.07万元。财政拨款支出总计339.07万元，其中：年末财政拨款结转和结余0.00万元，本年财政拨款支出339.07万元。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财政拨款收入支出总体与上年相比，增加24.28万元，增长7.71%，主要原因是：2024年</w:t>
      </w:r>
      <w:r>
        <w:rPr>
          <w:rFonts w:hint="eastAsia" w:ascii="仿宋_GB2312" w:eastAsia="仿宋_GB2312"/>
          <w:b w:val="0"/>
          <w:sz w:val="32"/>
          <w:szCs w:val="32"/>
          <w:lang w:eastAsia="zh-CN"/>
        </w:rPr>
        <w:t>追加</w:t>
      </w:r>
      <w:r>
        <w:rPr>
          <w:rFonts w:ascii="仿宋_GB2312" w:eastAsia="仿宋_GB2312"/>
          <w:b w:val="0"/>
          <w:sz w:val="32"/>
          <w:szCs w:val="32"/>
        </w:rPr>
        <w:t>智力援疆创新拓展人才计划项目。与年初预算相比，年初预算数294.41万元，决算数339.07万元，预决算差异率15.17%，主要原因是：2024年</w:t>
      </w:r>
      <w:r>
        <w:rPr>
          <w:rFonts w:hint="eastAsia" w:ascii="仿宋_GB2312" w:eastAsia="仿宋_GB2312"/>
          <w:b w:val="0"/>
          <w:sz w:val="32"/>
          <w:szCs w:val="32"/>
          <w:lang w:eastAsia="zh-CN"/>
        </w:rPr>
        <w:t>追加</w:t>
      </w:r>
      <w:r>
        <w:rPr>
          <w:rFonts w:ascii="仿宋_GB2312" w:eastAsia="仿宋_GB2312"/>
          <w:b w:val="0"/>
          <w:sz w:val="32"/>
          <w:szCs w:val="32"/>
        </w:rPr>
        <w:t>智力援疆创新拓展人才计划项目。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2024年度一般公共预算财政拨款支出339.07万元，占本年支出合计的70.88%。与上年相比，增加24.28万元，增长7.71%，主要原因是：2024年</w:t>
      </w:r>
      <w:r>
        <w:rPr>
          <w:rFonts w:hint="eastAsia" w:ascii="仿宋_GB2312" w:eastAsia="仿宋_GB2312"/>
          <w:b w:val="0"/>
          <w:sz w:val="32"/>
          <w:szCs w:val="32"/>
          <w:lang w:eastAsia="zh-CN"/>
        </w:rPr>
        <w:t>追加</w:t>
      </w:r>
      <w:r>
        <w:rPr>
          <w:rFonts w:ascii="仿宋_GB2312" w:eastAsia="仿宋_GB2312"/>
          <w:b w:val="0"/>
          <w:sz w:val="32"/>
          <w:szCs w:val="32"/>
        </w:rPr>
        <w:t>智力援疆创新拓展人才计划项目。与年初预算相比，年初预算数294.41万元，决算数339.07万元，预决算差异率15.17%，主要原因是：2024年</w:t>
      </w:r>
      <w:r>
        <w:rPr>
          <w:rFonts w:hint="eastAsia" w:ascii="仿宋_GB2312" w:eastAsia="仿宋_GB2312"/>
          <w:b w:val="0"/>
          <w:sz w:val="32"/>
          <w:szCs w:val="32"/>
          <w:lang w:eastAsia="zh-CN"/>
        </w:rPr>
        <w:t>追加</w:t>
      </w:r>
      <w:r>
        <w:rPr>
          <w:rFonts w:ascii="仿宋_GB2312" w:eastAsia="仿宋_GB2312"/>
          <w:b w:val="0"/>
          <w:sz w:val="32"/>
          <w:szCs w:val="32"/>
        </w:rPr>
        <w:t>智力援疆创新拓展人才计划项目。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科学技术支出（类）299.32万元，占88.28%。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粮油物资储备支出（类）39.74万元，占11.72%。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1、科学技术支出（类）应用研究（款）机构运行（项）：支出决算数为299.32万元，比上年决算减少15.47万元，下降4.91%，主要原因是：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年无人员去世，减少丧葬费抚恤金等人员支出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2、粮油物资储备支出（类）粮油物资事务（款）其他粮油物资事务支出（项）：支出决算数为39.74万元，比上年决算增加39.74万元，增长100.00%，主要原因是：2024年</w:t>
      </w:r>
      <w:r>
        <w:rPr>
          <w:rFonts w:hint="eastAsia" w:ascii="仿宋_GB2312" w:eastAsia="仿宋_GB2312"/>
          <w:b w:val="0"/>
          <w:sz w:val="32"/>
          <w:szCs w:val="32"/>
          <w:lang w:eastAsia="zh-CN"/>
        </w:rPr>
        <w:t>追加</w:t>
      </w:r>
      <w:r>
        <w:rPr>
          <w:rFonts w:ascii="仿宋_GB2312" w:eastAsia="仿宋_GB2312"/>
          <w:b w:val="0"/>
          <w:sz w:val="32"/>
          <w:szCs w:val="32"/>
        </w:rPr>
        <w:t>智力援疆创新拓展人才计划项目。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299.32万元，其中：人员经费280.38万元，包括：基本工资、津贴补贴、奖金、绩效工资、机关事业单位基本养老保险缴费、职业年金缴费、职工基本医疗保险缴费、公务员医疗补助缴费、其他社会保障缴费、住房公积金和退休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公用经费18.94万元，包括：办公费、水费、邮电费、取暖费、物业管理费、差旅费、工会经费、福利费、其他交通费用和其他商品和服务支出。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2024年度财政拨款“三公”经费支出0.00万元，与上年相比无变化，主要原因是：我单位</w:t>
      </w:r>
      <w:r>
        <w:rPr>
          <w:rFonts w:hint="eastAsia" w:ascii="仿宋_GB2312" w:eastAsia="仿宋_GB2312"/>
          <w:b w:val="0"/>
          <w:color w:val="auto"/>
          <w:sz w:val="32"/>
          <w:szCs w:val="32"/>
          <w:lang w:val="en-US" w:eastAsia="zh-CN"/>
        </w:rPr>
        <w:t>2023年度与2024年均未安排</w:t>
      </w:r>
      <w:r>
        <w:rPr>
          <w:rFonts w:ascii="仿宋_GB2312" w:eastAsia="仿宋_GB2312"/>
          <w:b w:val="0"/>
          <w:color w:val="auto"/>
          <w:sz w:val="32"/>
          <w:szCs w:val="32"/>
        </w:rPr>
        <w:t>“三公”经费支出。其中：因公出国（境）费支出0.00万元,占0.00%，与上年相比无变化，主要原因是：我单位</w:t>
      </w:r>
      <w:r>
        <w:rPr>
          <w:rFonts w:hint="eastAsia" w:ascii="仿宋_GB2312" w:eastAsia="仿宋_GB2312"/>
          <w:b w:val="0"/>
          <w:color w:val="auto"/>
          <w:sz w:val="32"/>
          <w:szCs w:val="32"/>
          <w:lang w:val="en-US" w:eastAsia="zh-CN"/>
        </w:rPr>
        <w:t>2023年度与2024年均未安排</w:t>
      </w:r>
      <w:r>
        <w:rPr>
          <w:rFonts w:ascii="仿宋_GB2312" w:eastAsia="仿宋_GB2312"/>
          <w:b w:val="0"/>
          <w:color w:val="auto"/>
          <w:sz w:val="32"/>
          <w:szCs w:val="32"/>
        </w:rPr>
        <w:t>因公出国（境）费；公务用车购置及运行维护费支出0.00万元，占0.00%，与上年相比无变化，主要原因是：我单位</w:t>
      </w:r>
      <w:r>
        <w:rPr>
          <w:rFonts w:hint="eastAsia" w:ascii="仿宋_GB2312" w:eastAsia="仿宋_GB2312"/>
          <w:b w:val="0"/>
          <w:color w:val="auto"/>
          <w:sz w:val="32"/>
          <w:szCs w:val="32"/>
          <w:lang w:val="en-US" w:eastAsia="zh-CN"/>
        </w:rPr>
        <w:t>2023年度与2024年均未安排</w:t>
      </w:r>
      <w:r>
        <w:rPr>
          <w:rFonts w:ascii="仿宋_GB2312" w:eastAsia="仿宋_GB2312"/>
          <w:b w:val="0"/>
          <w:color w:val="auto"/>
          <w:sz w:val="32"/>
          <w:szCs w:val="32"/>
        </w:rPr>
        <w:t>公务用车购置及运行维护费；公务接待费支出0.00万元，占0.00%，与上年相比无变化，主要原因是：我单位</w:t>
      </w:r>
      <w:r>
        <w:rPr>
          <w:rFonts w:hint="eastAsia" w:ascii="仿宋_GB2312" w:eastAsia="仿宋_GB2312"/>
          <w:b w:val="0"/>
          <w:color w:val="auto"/>
          <w:sz w:val="32"/>
          <w:szCs w:val="32"/>
          <w:lang w:val="en-US" w:eastAsia="zh-CN"/>
        </w:rPr>
        <w:t>2023年度与2024年均未安排</w:t>
      </w:r>
      <w:r>
        <w:rPr>
          <w:rFonts w:ascii="仿宋_GB2312" w:eastAsia="仿宋_GB2312"/>
          <w:b w:val="0"/>
          <w:color w:val="auto"/>
          <w:sz w:val="32"/>
          <w:szCs w:val="32"/>
        </w:rPr>
        <w:t>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color w:val="auto"/>
          <w:sz w:val="32"/>
          <w:szCs w:val="32"/>
        </w:rPr>
      </w:pPr>
      <w:r>
        <w:rPr>
          <w:rFonts w:ascii="仿宋_GB2312" w:eastAsia="仿宋_GB2312"/>
          <w:b w:val="0"/>
          <w:color w:val="auto"/>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因公出国（境）费支出0.00万元，开支内容包括我单位</w:t>
      </w:r>
      <w:r>
        <w:rPr>
          <w:rFonts w:hint="eastAsia" w:ascii="仿宋_GB2312" w:eastAsia="仿宋_GB2312"/>
          <w:b w:val="0"/>
          <w:color w:val="auto"/>
          <w:sz w:val="32"/>
          <w:szCs w:val="32"/>
          <w:lang w:val="en-US" w:eastAsia="zh-CN"/>
        </w:rPr>
        <w:t>2023年度与2024年均未安排</w:t>
      </w:r>
      <w:r>
        <w:rPr>
          <w:rFonts w:ascii="仿宋_GB2312" w:eastAsia="仿宋_GB2312"/>
          <w:b w:val="0"/>
          <w:color w:val="auto"/>
          <w:sz w:val="32"/>
          <w:szCs w:val="32"/>
        </w:rPr>
        <w:t>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公务用车购置及运行维护费0.00万元，其中：公务用车购置费0.00万元，公务用车运行维护费0.00万元。公务用车运行维护费开支内容包括我单位</w:t>
      </w:r>
      <w:r>
        <w:rPr>
          <w:rFonts w:hint="eastAsia" w:ascii="仿宋_GB2312" w:eastAsia="仿宋_GB2312"/>
          <w:b w:val="0"/>
          <w:color w:val="auto"/>
          <w:sz w:val="32"/>
          <w:szCs w:val="32"/>
          <w:lang w:val="en-US" w:eastAsia="zh-CN"/>
        </w:rPr>
        <w:t>2023年度与2024年均未安排</w:t>
      </w:r>
      <w:r>
        <w:rPr>
          <w:rFonts w:ascii="仿宋_GB2312" w:eastAsia="仿宋_GB2312"/>
          <w:b w:val="0"/>
          <w:color w:val="auto"/>
          <w:sz w:val="32"/>
          <w:szCs w:val="32"/>
        </w:rPr>
        <w:t>公务用车运行维护费。公务用车购置数0辆，公务用车保有量0辆。国有资产占用情况中固定资产车辆1辆，与公务用车保有量差异原因是：经机关事务管理局审批，划入本所开展业务用车1辆，车辆运行费用来源于财政资金的其他交通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公务接待费0.00万元，开支内容包括我单位</w:t>
      </w:r>
      <w:r>
        <w:rPr>
          <w:rFonts w:hint="eastAsia" w:ascii="仿宋_GB2312" w:eastAsia="仿宋_GB2312"/>
          <w:b w:val="0"/>
          <w:color w:val="auto"/>
          <w:sz w:val="32"/>
          <w:szCs w:val="32"/>
          <w:lang w:val="en-US" w:eastAsia="zh-CN"/>
        </w:rPr>
        <w:t>2023年度与2024年均为安排</w:t>
      </w:r>
      <w:r>
        <w:rPr>
          <w:rFonts w:ascii="仿宋_GB2312" w:eastAsia="仿宋_GB2312"/>
          <w:b w:val="0"/>
          <w:color w:val="auto"/>
          <w:sz w:val="32"/>
          <w:szCs w:val="32"/>
        </w:rPr>
        <w:t>公务接待费。单位全年安排的国内公务接待0批次，0人次。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与全年预算相比，财政拨款“三公”经费支出全年预算数0.00万元，决算数0.00万元，预决算差异率0.00%，主要原因是：我单位</w:t>
      </w:r>
      <w:r>
        <w:rPr>
          <w:rFonts w:hint="eastAsia" w:ascii="仿宋_GB2312" w:eastAsia="仿宋_GB2312"/>
          <w:b w:val="0"/>
          <w:color w:val="auto"/>
          <w:sz w:val="32"/>
          <w:szCs w:val="32"/>
          <w:lang w:val="en-US" w:eastAsia="zh-CN"/>
        </w:rPr>
        <w:t>本年度未安排</w:t>
      </w:r>
      <w:r>
        <w:rPr>
          <w:rFonts w:ascii="仿宋_GB2312" w:eastAsia="仿宋_GB2312"/>
          <w:b w:val="0"/>
          <w:color w:val="auto"/>
          <w:sz w:val="32"/>
          <w:szCs w:val="32"/>
        </w:rPr>
        <w:t>“三公 ”经费支出。其中：因公出国（境）费全年预算数0.00万元，决算数0.00万元，预决算差异率0.00%，主要原因是：</w:t>
      </w:r>
      <w:r>
        <w:rPr>
          <w:rFonts w:hint="eastAsia" w:ascii="仿宋_GB2312" w:eastAsia="仿宋_GB2312"/>
          <w:b w:val="0"/>
          <w:color w:val="auto"/>
          <w:sz w:val="32"/>
          <w:szCs w:val="32"/>
          <w:lang w:val="en-US" w:eastAsia="zh-CN"/>
        </w:rPr>
        <w:t>我单位本年度未安排</w:t>
      </w:r>
      <w:r>
        <w:rPr>
          <w:rFonts w:ascii="仿宋_GB2312" w:eastAsia="仿宋_GB2312"/>
          <w:b w:val="0"/>
          <w:color w:val="auto"/>
          <w:sz w:val="32"/>
          <w:szCs w:val="32"/>
        </w:rPr>
        <w:t>因公出国（境） 费；公务用车购置费全年预算数0.00万元，决算数0.00万元，预决算差异率0.00%，主要原因是：</w:t>
      </w:r>
      <w:r>
        <w:rPr>
          <w:rFonts w:hint="eastAsia" w:ascii="仿宋_GB2312" w:eastAsia="仿宋_GB2312"/>
          <w:b w:val="0"/>
          <w:color w:val="auto"/>
          <w:sz w:val="32"/>
          <w:szCs w:val="32"/>
          <w:lang w:val="en-US" w:eastAsia="zh-CN"/>
        </w:rPr>
        <w:t>我单位本年度未安排</w:t>
      </w:r>
      <w:r>
        <w:rPr>
          <w:rFonts w:ascii="仿宋_GB2312" w:eastAsia="仿宋_GB2312"/>
          <w:b w:val="0"/>
          <w:color w:val="auto"/>
          <w:sz w:val="32"/>
          <w:szCs w:val="32"/>
        </w:rPr>
        <w:t>公务用车购置费；公务用车运行维护费全年预算数0.00万元，决算数0.00万元，预决算差异率0.00%，主要原因是：</w:t>
      </w:r>
      <w:r>
        <w:rPr>
          <w:rFonts w:hint="eastAsia" w:ascii="仿宋_GB2312" w:eastAsia="仿宋_GB2312"/>
          <w:b w:val="0"/>
          <w:color w:val="auto"/>
          <w:sz w:val="32"/>
          <w:szCs w:val="32"/>
          <w:lang w:val="en-US" w:eastAsia="zh-CN"/>
        </w:rPr>
        <w:t>我单位本年度未安排</w:t>
      </w:r>
      <w:r>
        <w:rPr>
          <w:rFonts w:ascii="仿宋_GB2312" w:eastAsia="仿宋_GB2312"/>
          <w:b w:val="0"/>
          <w:color w:val="auto"/>
          <w:sz w:val="32"/>
          <w:szCs w:val="32"/>
        </w:rPr>
        <w:t>公务用车运行维护费；公务接待费全年预算数0.00万元，决算数0.00万元，预决算差异率0.00%，主要原因是：</w:t>
      </w:r>
      <w:r>
        <w:rPr>
          <w:rFonts w:hint="eastAsia" w:ascii="仿宋_GB2312" w:eastAsia="仿宋_GB2312"/>
          <w:b w:val="0"/>
          <w:color w:val="auto"/>
          <w:sz w:val="32"/>
          <w:szCs w:val="32"/>
          <w:lang w:val="en-US" w:eastAsia="zh-CN"/>
        </w:rPr>
        <w:t>我单位本年度未安排</w:t>
      </w:r>
      <w:r>
        <w:rPr>
          <w:rFonts w:ascii="仿宋_GB2312" w:eastAsia="仿宋_GB2312"/>
          <w:b w:val="0"/>
          <w:color w:val="auto"/>
          <w:sz w:val="32"/>
          <w:szCs w:val="32"/>
        </w:rPr>
        <w:t>公务接待费。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2024年度新疆维吾尔自治区粮油科学研究所单位（事业单位）公用经费支出18.94万元，比上年减少1.39万元，下降6.84%，主要原因是：2024年人员</w:t>
      </w:r>
      <w:r>
        <w:rPr>
          <w:rFonts w:hint="eastAsia" w:ascii="仿宋_GB2312" w:eastAsia="仿宋_GB2312"/>
          <w:b w:val="0"/>
          <w:sz w:val="32"/>
          <w:szCs w:val="32"/>
          <w:lang w:eastAsia="zh-CN"/>
        </w:rPr>
        <w:t>出差等业务减少</w:t>
      </w:r>
      <w:r>
        <w:rPr>
          <w:rFonts w:ascii="仿宋_GB2312" w:eastAsia="仿宋_GB2312"/>
          <w:b w:val="0"/>
          <w:sz w:val="32"/>
          <w:szCs w:val="32"/>
        </w:rPr>
        <w:t>，因此公用经费支出比上年减少。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2024年度政府采购支出总额18.53万元，其中：政府采购货物支出18.23万元、政府采购工程支出0.00万元、政府采购服务支出0.30万元。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授予中小企业合同金额18.53万元，占政府采购支出总额的100.00%，其中：授予小微企业合同金额17.40万元，占政府采购支出总额的93.90%。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1,928.00平方米，价值410.36万元。车辆1辆，价值42.60万元，其中：副部（省）级及以上领导用车0辆、主要负责人用车0辆、机要通信用车0辆、应急保障用车0辆、执法执勤用车0辆、特种专业技术用车1辆、离退休干部服务用车0辆、其他用车0辆，其他用车主要是：</w:t>
      </w:r>
      <w:r>
        <w:rPr>
          <w:rFonts w:hint="eastAsia" w:ascii="仿宋_GB2312" w:eastAsia="仿宋_GB2312"/>
          <w:b w:val="0"/>
          <w:sz w:val="32"/>
          <w:szCs w:val="32"/>
          <w:lang w:eastAsia="zh-CN"/>
        </w:rPr>
        <w:t>我单位无其他用车</w:t>
      </w:r>
      <w:r>
        <w:rPr>
          <w:rFonts w:ascii="仿宋_GB2312" w:eastAsia="仿宋_GB2312"/>
          <w:b w:val="0"/>
          <w:sz w:val="32"/>
          <w:szCs w:val="32"/>
        </w:rPr>
        <w:t>;单价100万元（含）以上设备（不含车辆）0台。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90.00万元，全年执行数90.00万元，预算绩效管理取得的成效：一是数量指标的发放在职职工绩效奖金的人数达到了14.00人，与计划相符。发放职工绩效奖金的次数大于12.00次，指标完成率为100.00%，在数量上满足了既定目标。二是质量指标的奖金发放准确无误，没有出现任何错误或遗漏，指标完成率为100%，体现了高质量的管理和执行。三是时效指标的奖金发放及时，没有延迟发放的情况，确保了职工能够及时获得应有的奖励，指标完成率为100.00%。四是发放在职职工绩效奖金的12月平均值为2.55万元，远低于预算的3.50万元，表明在成本控制方面取得了显著成效，指标完成率为100.00%。五是项目运行业务成本为34.88万元，虽然低于预算的47.00万元，但指标完成率仅为74.22%，成本控制是有效的。六是满意度调查结果显示，职工满意度达到了100.00%，表明绩效奖金的发放和管理得到了职工的广泛认可和好评。这不仅体现了管理工作的成效，也增强了职工的归属感和工作积极性。综上所述，绩效目标在产出、成本和满意度方面均取得了显著的成效。数量、质量和时效指标均达到了100.00%的完成率，成本控制有效且低于预算，职工满意度高。这些成果充分证明了绩效奖金发放和管理工作的科学性和有效性，为今后的工作提供了有益的借鉴和参考；发现的问题及原因：一是科研项目争取困难。我所科研基础相对薄弱，高水平成果数量有限，这导致在争取财政科研项目时面临较大困难。相关政策虽然存在，但由于自身条件限制，难以得到有效落实。二是发展挑战与机遇并存。随着自治区现代粮油产业集群建设的推进，我所迎来了发展机遇，但同时也面临着严峻挑战。主要业务、科研队伍以及发展理念都需要进行转变，以适应新的市场环境和发展需求。同时，“创新”与“创收”之间的矛盾日益突出，如何平衡这两者成为亟待解决的问题；下一步改进措施：一是增强创新能力。加强科研团队建设，提升科研实力。通过引进优秀人才、加强内部培训等方式，提高科研人员的创新能力和水平。同时，积极与高校、科研机构等合作，共同开展科研项目，拓宽横向课题来源。二是争取政策支持。积极争取国家和自治区的政策支持，包括科研项目经费、税收优惠等。同时，加强与相关部门的沟通协调，确保政策得到有效落实。三是转变发展理念。引导我所干部职工树立新的发展理念，以市场需求为导向，加强科研与产业的结合。通过优化业务结构、提升服务质量等方式，提高创收能力。同时，注重平衡“创新”与“创收”的关系，确保两者相互促进、共同发展。四是加强内部管理。完善内部管理制度，提高管理效率。通过加强预算管理、成本控制等措施，确保资金的有效利用和项目的顺利实施。同时，加强绩效考核和激励机制建设，激发员工的工作积极性和创新动力。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default" w:ascii="黑体" w:eastAsia="黑体"/>
          <w:b w:val="0"/>
          <w:sz w:val="32"/>
          <w:szCs w:val="32"/>
          <w:lang w:val="en-US"/>
        </w:rPr>
        <w:t xml:space="preserve"> </w:t>
      </w:r>
      <w:bookmarkStart w:id="0" w:name="_GoBack"/>
      <w:bookmarkEnd w:id="0"/>
      <w:r>
        <w:rPr>
          <w:rFonts w:ascii="黑体" w:eastAsia="黑体"/>
          <w:b w:val="0"/>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default" w:ascii="黑体" w:eastAsia="黑体"/>
          <w:b w:val="0"/>
          <w:sz w:val="32"/>
          <w:szCs w:val="32"/>
          <w:lang w:val="en-US"/>
        </w:rPr>
        <w:t xml:space="preserve"> </w:t>
      </w:r>
      <w:r>
        <w:rPr>
          <w:rFonts w:ascii="黑体" w:eastAsia="黑体"/>
          <w:b w:val="0"/>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10972B3A"/>
    <w:rsid w:val="1EB0673E"/>
    <w:rsid w:val="21BE1225"/>
    <w:rsid w:val="2BBE0747"/>
    <w:rsid w:val="34E52D2A"/>
    <w:rsid w:val="366A58EB"/>
    <w:rsid w:val="3FAF573B"/>
    <w:rsid w:val="4A7B2E14"/>
    <w:rsid w:val="4C2F469D"/>
    <w:rsid w:val="5860060C"/>
    <w:rsid w:val="5E444CC9"/>
    <w:rsid w:val="72654D1A"/>
    <w:rsid w:val="787A74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5791</Words>
  <Characters>6473</Characters>
  <TotalTime>5</TotalTime>
  <ScaleCrop>false</ScaleCrop>
  <LinksUpToDate>false</LinksUpToDate>
  <CharactersWithSpaces>6475</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2025-08-20T10:15:00Z</dcterms:created>
  <dc:creator>Administrator</dc:creator>
  <cp:lastModifiedBy>Administrator</cp:lastModifiedBy>
  <dcterms:modified xsi:type="dcterms:W3CDTF">2025-08-26T04:07:12Z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eyJoZGlkIjoiNGQ4NjI0MWM0YzdlYmYwYzc5ZTViNjM5NzcwOTc2N2UiLCJ1c2VySWQiOiI4ODAzNDkyNTYifQ==</vt:lpwstr>
  </property>
  <property fmtid="{D5CDD505-2E9C-101B-9397-08002B2CF9AE}" pid="3" name="KSOProductBuildVer">
    <vt:lpwstr>2052-11.8.2.10912</vt:lpwstr>
  </property>
  <property fmtid="{D5CDD505-2E9C-101B-9397-08002B2CF9AE}" pid="4" name="ICV">
    <vt:lpwstr>F2B287D9467142C5B5C2DD1F2FC9E3E3_12</vt:lpwstr>
  </property>
</Properties>
</file>