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560" w:lineRule="exact"/>
        <w:textAlignment w:val="auto"/>
        <w:rPr>
          <w:rFonts w:ascii="宋体" w:eastAsia="宋体"/>
          <w:sz w:val="32"/>
          <w:szCs w:val="32"/>
        </w:rPr>
      </w:pPr>
    </w:p>
    <w:p>
      <w:pPr>
        <w:keepNext w:val="0"/>
        <w:keepLines w:val="0"/>
        <w:pageBreakBefore w:val="0"/>
        <w:widowControl/>
        <w:kinsoku/>
        <w:wordWrap/>
        <w:overflowPunct/>
        <w:topLinePunct w:val="0"/>
        <w:autoSpaceDE/>
        <w:autoSpaceDN/>
        <w:bidi w:val="0"/>
        <w:adjustRightInd/>
        <w:snapToGrid/>
        <w:spacing w:line="560" w:lineRule="exact"/>
        <w:textAlignment w:val="auto"/>
        <w:rPr>
          <w:rFonts w:ascii="宋体" w:eastAsia="宋体"/>
          <w:sz w:val="44"/>
          <w:szCs w:val="44"/>
        </w:rPr>
      </w:pPr>
    </w:p>
    <w:p>
      <w:pPr>
        <w:keepNext w:val="0"/>
        <w:keepLines w:val="0"/>
        <w:pageBreakBefore w:val="0"/>
        <w:widowControl/>
        <w:kinsoku/>
        <w:wordWrap/>
        <w:overflowPunct/>
        <w:topLinePunct w:val="0"/>
        <w:autoSpaceDE/>
        <w:autoSpaceDN/>
        <w:bidi w:val="0"/>
        <w:adjustRightInd/>
        <w:snapToGrid/>
        <w:spacing w:line="560" w:lineRule="exact"/>
        <w:textAlignment w:val="auto"/>
        <w:rPr>
          <w:rFonts w:ascii="宋体" w:eastAsia="宋体"/>
          <w:sz w:val="44"/>
          <w:szCs w:val="44"/>
        </w:rPr>
      </w:pPr>
    </w:p>
    <w:p>
      <w:pPr>
        <w:keepNext w:val="0"/>
        <w:keepLines w:val="0"/>
        <w:pageBreakBefore w:val="0"/>
        <w:widowControl/>
        <w:kinsoku/>
        <w:wordWrap/>
        <w:overflowPunct/>
        <w:topLinePunct w:val="0"/>
        <w:autoSpaceDE/>
        <w:autoSpaceDN/>
        <w:bidi w:val="0"/>
        <w:adjustRightInd/>
        <w:snapToGrid/>
        <w:spacing w:line="560" w:lineRule="exact"/>
        <w:textAlignment w:val="auto"/>
        <w:rPr>
          <w:rFonts w:ascii="宋体" w:eastAsia="宋体"/>
          <w:sz w:val="44"/>
          <w:szCs w:val="44"/>
        </w:rPr>
      </w:pPr>
    </w:p>
    <w:p>
      <w:pPr>
        <w:keepNext w:val="0"/>
        <w:keepLines w:val="0"/>
        <w:pageBreakBefore w:val="0"/>
        <w:widowControl/>
        <w:kinsoku/>
        <w:wordWrap/>
        <w:overflowPunct/>
        <w:topLinePunct w:val="0"/>
        <w:autoSpaceDE/>
        <w:autoSpaceDN/>
        <w:bidi w:val="0"/>
        <w:adjustRightInd/>
        <w:snapToGrid/>
        <w:spacing w:line="560" w:lineRule="exact"/>
        <w:jc w:val="center"/>
        <w:textAlignment w:val="auto"/>
        <w:outlineLvl w:val="0"/>
        <w:rPr>
          <w:rFonts w:ascii="宋体" w:eastAsia="黑体"/>
          <w:sz w:val="44"/>
          <w:szCs w:val="44"/>
          <w:lang w:eastAsia="zh-CN"/>
        </w:rPr>
      </w:pPr>
      <w:r>
        <w:rPr>
          <w:rFonts w:ascii="宋体" w:eastAsia="黑体"/>
          <w:sz w:val="44"/>
          <w:szCs w:val="44"/>
          <w:lang w:eastAsia="zh-CN"/>
        </w:rPr>
        <w:t>新疆维吾尔自治区维吾尔医药研究所</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outlineLvl w:val="0"/>
        <w:rPr>
          <w:rFonts w:ascii="黑体" w:eastAsia="黑体"/>
          <w:sz w:val="44"/>
          <w:szCs w:val="44"/>
          <w:lang w:eastAsia="zh-CN"/>
        </w:rPr>
      </w:pPr>
      <w:r>
        <w:rPr>
          <w:rFonts w:ascii="黑体" w:eastAsia="黑体"/>
          <w:sz w:val="44"/>
          <w:szCs w:val="44"/>
          <w:lang w:eastAsia="zh-CN"/>
        </w:rPr>
        <w:t>2024年度部门决算公开说明</w:t>
      </w:r>
    </w:p>
    <w:p>
      <w:pPr>
        <w:keepNext w:val="0"/>
        <w:keepLines w:val="0"/>
        <w:pageBreakBefore w:val="0"/>
        <w:widowControl/>
        <w:kinsoku/>
        <w:wordWrap/>
        <w:overflowPunct/>
        <w:topLinePunct w:val="0"/>
        <w:autoSpaceDE/>
        <w:autoSpaceDN/>
        <w:bidi w:val="0"/>
        <w:adjustRightInd/>
        <w:snapToGrid/>
        <w:spacing w:line="560" w:lineRule="exact"/>
        <w:textAlignment w:val="auto"/>
        <w:rPr>
          <w:lang w:eastAsia="zh-CN"/>
        </w:rPr>
      </w:pPr>
      <w:r>
        <w:rPr>
          <w:sz w:val="0"/>
          <w:szCs w:val="0"/>
          <w:lang w:eastAsia="zh-CN"/>
        </w:rPr>
        <w:br w:type="page"/>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黑体" w:eastAsia="黑体"/>
          <w:sz w:val="32"/>
          <w:szCs w:val="32"/>
          <w:lang w:eastAsia="zh-CN"/>
        </w:rPr>
      </w:pPr>
      <w:r>
        <w:rPr>
          <w:rFonts w:ascii="黑体" w:eastAsia="黑体"/>
          <w:b/>
          <w:sz w:val="32"/>
          <w:szCs w:val="32"/>
          <w:lang w:eastAsia="zh-CN"/>
        </w:rPr>
        <w:t>目</w:t>
      </w:r>
      <w:r>
        <w:rPr>
          <w:rFonts w:hint="default" w:ascii="黑体" w:eastAsia="黑体"/>
          <w:b/>
          <w:sz w:val="32"/>
          <w:szCs w:val="32"/>
          <w:lang w:val="en-US" w:eastAsia="zh-CN"/>
        </w:rPr>
        <w:t xml:space="preserve">  </w:t>
      </w:r>
      <w:r>
        <w:rPr>
          <w:rFonts w:ascii="黑体" w:eastAsia="黑体"/>
          <w:b/>
          <w:sz w:val="32"/>
          <w:szCs w:val="32"/>
          <w:lang w:eastAsia="zh-CN"/>
        </w:rPr>
        <w:t>录</w:t>
      </w:r>
    </w:p>
    <w:p>
      <w:pPr>
        <w:keepNext w:val="0"/>
        <w:keepLines w:val="0"/>
        <w:pageBreakBefore w:val="0"/>
        <w:widowControl/>
        <w:kinsoku/>
        <w:wordWrap/>
        <w:overflowPunct/>
        <w:topLinePunct w:val="0"/>
        <w:autoSpaceDE/>
        <w:autoSpaceDN/>
        <w:bidi w:val="0"/>
        <w:adjustRightInd/>
        <w:snapToGrid/>
        <w:spacing w:line="560" w:lineRule="exact"/>
        <w:textAlignment w:val="auto"/>
        <w:rPr>
          <w:rFonts w:ascii="仿宋_GB2312" w:eastAsia="仿宋_GB2312"/>
          <w:sz w:val="32"/>
          <w:szCs w:val="32"/>
          <w:lang w:eastAsia="zh-CN"/>
        </w:rPr>
      </w:pPr>
      <w:r>
        <w:rPr>
          <w:rFonts w:ascii="仿宋_GB2312" w:eastAsia="仿宋_GB2312"/>
          <w:b/>
          <w:sz w:val="32"/>
          <w:szCs w:val="32"/>
          <w:lang w:eastAsia="zh-CN"/>
        </w:rPr>
        <w:t>第一部分</w:t>
      </w:r>
      <w:r>
        <w:rPr>
          <w:rFonts w:hint="default" w:ascii="仿宋_GB2312" w:eastAsia="仿宋_GB2312"/>
          <w:b/>
          <w:sz w:val="32"/>
          <w:szCs w:val="32"/>
          <w:lang w:val="en-US" w:eastAsia="zh-CN"/>
        </w:rPr>
        <w:t xml:space="preserve"> </w:t>
      </w:r>
      <w:r>
        <w:rPr>
          <w:rFonts w:ascii="仿宋_GB2312" w:eastAsia="仿宋_GB2312"/>
          <w:b/>
          <w:sz w:val="32"/>
          <w:szCs w:val="32"/>
          <w:lang w:eastAsia="zh-CN"/>
        </w:rPr>
        <w:t>单位概况</w:t>
      </w:r>
    </w:p>
    <w:p>
      <w:pPr>
        <w:keepNext w:val="0"/>
        <w:keepLines w:val="0"/>
        <w:pageBreakBefore w:val="0"/>
        <w:widowControl/>
        <w:kinsoku/>
        <w:wordWrap/>
        <w:overflowPunct/>
        <w:topLinePunct w:val="0"/>
        <w:autoSpaceDE/>
        <w:autoSpaceDN/>
        <w:bidi w:val="0"/>
        <w:adjustRightInd/>
        <w:snapToGrid/>
        <w:spacing w:line="560" w:lineRule="exact"/>
        <w:textAlignment w:val="auto"/>
        <w:rPr>
          <w:rFonts w:ascii="仿宋_GB2312" w:eastAsia="仿宋_GB2312"/>
          <w:sz w:val="32"/>
          <w:szCs w:val="32"/>
          <w:lang w:eastAsia="zh-CN"/>
        </w:rPr>
      </w:pPr>
      <w:r>
        <w:rPr>
          <w:rFonts w:ascii="仿宋_GB2312" w:eastAsia="仿宋_GB2312"/>
          <w:sz w:val="32"/>
          <w:szCs w:val="32"/>
          <w:lang w:eastAsia="zh-CN"/>
        </w:rPr>
        <w:t>一、主要职能</w:t>
      </w:r>
    </w:p>
    <w:p>
      <w:pPr>
        <w:keepNext w:val="0"/>
        <w:keepLines w:val="0"/>
        <w:pageBreakBefore w:val="0"/>
        <w:widowControl/>
        <w:kinsoku/>
        <w:wordWrap/>
        <w:overflowPunct/>
        <w:topLinePunct w:val="0"/>
        <w:autoSpaceDE/>
        <w:autoSpaceDN/>
        <w:bidi w:val="0"/>
        <w:adjustRightInd/>
        <w:snapToGrid/>
        <w:spacing w:line="560" w:lineRule="exact"/>
        <w:textAlignment w:val="auto"/>
        <w:rPr>
          <w:rFonts w:ascii="仿宋_GB2312" w:eastAsia="仿宋_GB2312"/>
          <w:sz w:val="32"/>
          <w:szCs w:val="32"/>
          <w:lang w:eastAsia="zh-CN"/>
        </w:rPr>
      </w:pPr>
      <w:r>
        <w:rPr>
          <w:rFonts w:ascii="仿宋_GB2312" w:eastAsia="仿宋_GB2312"/>
          <w:sz w:val="32"/>
          <w:szCs w:val="32"/>
          <w:lang w:eastAsia="zh-CN"/>
        </w:rPr>
        <w:t>二、机构设置及人员情况</w:t>
      </w:r>
    </w:p>
    <w:p>
      <w:pPr>
        <w:keepNext w:val="0"/>
        <w:keepLines w:val="0"/>
        <w:pageBreakBefore w:val="0"/>
        <w:widowControl/>
        <w:kinsoku/>
        <w:wordWrap/>
        <w:overflowPunct/>
        <w:topLinePunct w:val="0"/>
        <w:autoSpaceDE/>
        <w:autoSpaceDN/>
        <w:bidi w:val="0"/>
        <w:adjustRightInd/>
        <w:snapToGrid/>
        <w:spacing w:line="560" w:lineRule="exact"/>
        <w:textAlignment w:val="auto"/>
        <w:rPr>
          <w:rFonts w:ascii="仿宋_GB2312" w:eastAsia="仿宋_GB2312"/>
          <w:sz w:val="32"/>
          <w:szCs w:val="32"/>
          <w:lang w:eastAsia="zh-CN"/>
        </w:rPr>
      </w:pPr>
      <w:r>
        <w:rPr>
          <w:rFonts w:ascii="仿宋_GB2312" w:eastAsia="仿宋_GB2312"/>
          <w:b/>
          <w:sz w:val="32"/>
          <w:szCs w:val="32"/>
          <w:lang w:eastAsia="zh-CN"/>
        </w:rPr>
        <w:t>第二部分</w:t>
      </w:r>
      <w:r>
        <w:rPr>
          <w:rFonts w:hint="default" w:ascii="仿宋_GB2312" w:eastAsia="仿宋_GB2312"/>
          <w:b/>
          <w:sz w:val="32"/>
          <w:szCs w:val="32"/>
          <w:lang w:val="en-US" w:eastAsia="zh-CN"/>
        </w:rPr>
        <w:t xml:space="preserve"> </w:t>
      </w:r>
      <w:r>
        <w:rPr>
          <w:rFonts w:ascii="仿宋_GB2312" w:eastAsia="仿宋_GB2312"/>
          <w:b/>
          <w:sz w:val="32"/>
          <w:szCs w:val="32"/>
          <w:lang w:eastAsia="zh-CN"/>
        </w:rPr>
        <w:t>部门决算情况说明</w:t>
      </w:r>
    </w:p>
    <w:p>
      <w:pPr>
        <w:keepNext w:val="0"/>
        <w:keepLines w:val="0"/>
        <w:pageBreakBefore w:val="0"/>
        <w:widowControl/>
        <w:kinsoku/>
        <w:wordWrap/>
        <w:overflowPunct/>
        <w:topLinePunct w:val="0"/>
        <w:autoSpaceDE/>
        <w:autoSpaceDN/>
        <w:bidi w:val="0"/>
        <w:adjustRightInd/>
        <w:snapToGrid/>
        <w:spacing w:line="560" w:lineRule="exact"/>
        <w:textAlignment w:val="auto"/>
        <w:rPr>
          <w:rFonts w:ascii="仿宋_GB2312" w:eastAsia="仿宋_GB2312"/>
          <w:sz w:val="32"/>
          <w:szCs w:val="32"/>
          <w:lang w:eastAsia="zh-CN"/>
        </w:rPr>
      </w:pPr>
      <w:r>
        <w:rPr>
          <w:rFonts w:ascii="仿宋_GB2312" w:eastAsia="仿宋_GB2312"/>
          <w:sz w:val="32"/>
          <w:szCs w:val="32"/>
          <w:lang w:eastAsia="zh-CN"/>
        </w:rPr>
        <w:t>一、收入支出决算总体情况说明</w:t>
      </w:r>
    </w:p>
    <w:p>
      <w:pPr>
        <w:keepNext w:val="0"/>
        <w:keepLines w:val="0"/>
        <w:pageBreakBefore w:val="0"/>
        <w:widowControl/>
        <w:kinsoku/>
        <w:wordWrap/>
        <w:overflowPunct/>
        <w:topLinePunct w:val="0"/>
        <w:autoSpaceDE/>
        <w:autoSpaceDN/>
        <w:bidi w:val="0"/>
        <w:adjustRightInd/>
        <w:snapToGrid/>
        <w:spacing w:line="560" w:lineRule="exact"/>
        <w:textAlignment w:val="auto"/>
        <w:rPr>
          <w:rFonts w:ascii="仿宋_GB2312" w:eastAsia="仿宋_GB2312"/>
          <w:sz w:val="32"/>
          <w:szCs w:val="32"/>
          <w:lang w:eastAsia="zh-CN"/>
        </w:rPr>
      </w:pPr>
      <w:r>
        <w:rPr>
          <w:rFonts w:ascii="仿宋_GB2312" w:eastAsia="仿宋_GB2312"/>
          <w:sz w:val="32"/>
          <w:szCs w:val="32"/>
          <w:lang w:eastAsia="zh-CN"/>
        </w:rPr>
        <w:t>二、收入决算情况说明</w:t>
      </w:r>
    </w:p>
    <w:p>
      <w:pPr>
        <w:keepNext w:val="0"/>
        <w:keepLines w:val="0"/>
        <w:pageBreakBefore w:val="0"/>
        <w:widowControl/>
        <w:kinsoku/>
        <w:wordWrap/>
        <w:overflowPunct/>
        <w:topLinePunct w:val="0"/>
        <w:autoSpaceDE/>
        <w:autoSpaceDN/>
        <w:bidi w:val="0"/>
        <w:adjustRightInd/>
        <w:snapToGrid/>
        <w:spacing w:line="560" w:lineRule="exact"/>
        <w:textAlignment w:val="auto"/>
        <w:rPr>
          <w:rFonts w:ascii="仿宋_GB2312" w:eastAsia="仿宋_GB2312"/>
          <w:sz w:val="32"/>
          <w:szCs w:val="32"/>
          <w:lang w:eastAsia="zh-CN"/>
        </w:rPr>
      </w:pPr>
      <w:r>
        <w:rPr>
          <w:rFonts w:ascii="仿宋_GB2312" w:eastAsia="仿宋_GB2312"/>
          <w:sz w:val="32"/>
          <w:szCs w:val="32"/>
          <w:lang w:eastAsia="zh-CN"/>
        </w:rPr>
        <w:t>三、支出决算情况说明</w:t>
      </w:r>
    </w:p>
    <w:p>
      <w:pPr>
        <w:keepNext w:val="0"/>
        <w:keepLines w:val="0"/>
        <w:pageBreakBefore w:val="0"/>
        <w:widowControl/>
        <w:kinsoku/>
        <w:wordWrap/>
        <w:overflowPunct/>
        <w:topLinePunct w:val="0"/>
        <w:autoSpaceDE/>
        <w:autoSpaceDN/>
        <w:bidi w:val="0"/>
        <w:adjustRightInd/>
        <w:snapToGrid/>
        <w:spacing w:line="560" w:lineRule="exact"/>
        <w:textAlignment w:val="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pPr>
        <w:keepNext w:val="0"/>
        <w:keepLines w:val="0"/>
        <w:pageBreakBefore w:val="0"/>
        <w:widowControl/>
        <w:kinsoku/>
        <w:wordWrap/>
        <w:overflowPunct/>
        <w:topLinePunct w:val="0"/>
        <w:autoSpaceDE/>
        <w:autoSpaceDN/>
        <w:bidi w:val="0"/>
        <w:adjustRightInd/>
        <w:snapToGrid/>
        <w:spacing w:line="560" w:lineRule="exact"/>
        <w:textAlignment w:val="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pPr>
        <w:keepNext w:val="0"/>
        <w:keepLines w:val="0"/>
        <w:pageBreakBefore w:val="0"/>
        <w:widowControl/>
        <w:kinsoku/>
        <w:wordWrap/>
        <w:overflowPunct/>
        <w:topLinePunct w:val="0"/>
        <w:autoSpaceDE/>
        <w:autoSpaceDN/>
        <w:bidi w:val="0"/>
        <w:adjustRightInd/>
        <w:snapToGrid/>
        <w:spacing w:line="560" w:lineRule="exact"/>
        <w:textAlignment w:val="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pPr>
        <w:keepNext w:val="0"/>
        <w:keepLines w:val="0"/>
        <w:pageBreakBefore w:val="0"/>
        <w:widowControl/>
        <w:kinsoku/>
        <w:wordWrap/>
        <w:overflowPunct/>
        <w:topLinePunct w:val="0"/>
        <w:autoSpaceDE/>
        <w:autoSpaceDN/>
        <w:bidi w:val="0"/>
        <w:adjustRightInd/>
        <w:snapToGrid/>
        <w:spacing w:line="560" w:lineRule="exact"/>
        <w:textAlignment w:val="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pPr>
        <w:keepNext w:val="0"/>
        <w:keepLines w:val="0"/>
        <w:pageBreakBefore w:val="0"/>
        <w:widowControl/>
        <w:kinsoku/>
        <w:wordWrap/>
        <w:overflowPunct/>
        <w:topLinePunct w:val="0"/>
        <w:autoSpaceDE/>
        <w:autoSpaceDN/>
        <w:bidi w:val="0"/>
        <w:adjustRightInd/>
        <w:snapToGrid/>
        <w:spacing w:line="560" w:lineRule="exact"/>
        <w:textAlignment w:val="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pPr>
        <w:keepNext w:val="0"/>
        <w:keepLines w:val="0"/>
        <w:pageBreakBefore w:val="0"/>
        <w:widowControl/>
        <w:kinsoku/>
        <w:wordWrap/>
        <w:overflowPunct/>
        <w:topLinePunct w:val="0"/>
        <w:autoSpaceDE/>
        <w:autoSpaceDN/>
        <w:bidi w:val="0"/>
        <w:adjustRightInd/>
        <w:snapToGrid/>
        <w:spacing w:line="560" w:lineRule="exact"/>
        <w:textAlignment w:val="auto"/>
        <w:rPr>
          <w:rFonts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pPr>
        <w:keepNext w:val="0"/>
        <w:keepLines w:val="0"/>
        <w:pageBreakBefore w:val="0"/>
        <w:widowControl/>
        <w:kinsoku/>
        <w:wordWrap/>
        <w:overflowPunct/>
        <w:topLinePunct w:val="0"/>
        <w:autoSpaceDE/>
        <w:autoSpaceDN/>
        <w:bidi w:val="0"/>
        <w:adjustRightInd/>
        <w:snapToGrid/>
        <w:spacing w:line="560" w:lineRule="exact"/>
        <w:textAlignment w:val="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pPr>
        <w:keepNext w:val="0"/>
        <w:keepLines w:val="0"/>
        <w:pageBreakBefore w:val="0"/>
        <w:widowControl/>
        <w:kinsoku/>
        <w:wordWrap/>
        <w:overflowPunct/>
        <w:topLinePunct w:val="0"/>
        <w:autoSpaceDE/>
        <w:autoSpaceDN/>
        <w:bidi w:val="0"/>
        <w:adjustRightInd/>
        <w:snapToGrid/>
        <w:spacing w:line="560" w:lineRule="exact"/>
        <w:textAlignment w:val="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pPr>
        <w:keepNext w:val="0"/>
        <w:keepLines w:val="0"/>
        <w:pageBreakBefore w:val="0"/>
        <w:widowControl/>
        <w:kinsoku/>
        <w:wordWrap/>
        <w:overflowPunct/>
        <w:topLinePunct w:val="0"/>
        <w:autoSpaceDE/>
        <w:autoSpaceDN/>
        <w:bidi w:val="0"/>
        <w:adjustRightInd/>
        <w:snapToGrid/>
        <w:spacing w:line="560" w:lineRule="exact"/>
        <w:textAlignment w:val="auto"/>
        <w:rPr>
          <w:rFonts w:ascii="仿宋_GB2312" w:eastAsia="仿宋_GB2312"/>
          <w:sz w:val="32"/>
          <w:szCs w:val="32"/>
          <w:lang w:eastAsia="zh-CN"/>
        </w:rPr>
      </w:pPr>
      <w:r>
        <w:rPr>
          <w:rFonts w:ascii="仿宋_GB2312" w:eastAsia="仿宋_GB2312"/>
          <w:sz w:val="32"/>
          <w:szCs w:val="32"/>
          <w:lang w:eastAsia="zh-CN"/>
        </w:rPr>
        <w:t>九、财政拨款“三公”经费支出决算情况说明</w:t>
      </w:r>
    </w:p>
    <w:p>
      <w:pPr>
        <w:keepNext w:val="0"/>
        <w:keepLines w:val="0"/>
        <w:pageBreakBefore w:val="0"/>
        <w:widowControl/>
        <w:kinsoku/>
        <w:wordWrap/>
        <w:overflowPunct/>
        <w:topLinePunct w:val="0"/>
        <w:autoSpaceDE/>
        <w:autoSpaceDN/>
        <w:bidi w:val="0"/>
        <w:adjustRightInd/>
        <w:snapToGrid/>
        <w:spacing w:line="560" w:lineRule="exact"/>
        <w:textAlignment w:val="auto"/>
        <w:rPr>
          <w:rFonts w:ascii="仿宋_GB2312" w:eastAsia="仿宋_GB2312"/>
          <w:sz w:val="32"/>
          <w:szCs w:val="32"/>
          <w:lang w:eastAsia="zh-CN"/>
        </w:rPr>
      </w:pPr>
      <w:r>
        <w:rPr>
          <w:rFonts w:ascii="仿宋_GB2312" w:eastAsia="仿宋_GB2312"/>
          <w:sz w:val="32"/>
          <w:szCs w:val="32"/>
          <w:lang w:eastAsia="zh-CN"/>
        </w:rPr>
        <w:t>十、其他重要事项的情况说明</w:t>
      </w:r>
    </w:p>
    <w:p>
      <w:pPr>
        <w:keepNext w:val="0"/>
        <w:keepLines w:val="0"/>
        <w:pageBreakBefore w:val="0"/>
        <w:widowControl/>
        <w:kinsoku/>
        <w:wordWrap/>
        <w:overflowPunct/>
        <w:topLinePunct w:val="0"/>
        <w:autoSpaceDE/>
        <w:autoSpaceDN/>
        <w:bidi w:val="0"/>
        <w:adjustRightInd/>
        <w:snapToGrid/>
        <w:spacing w:line="560" w:lineRule="exact"/>
        <w:textAlignment w:val="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pPr>
        <w:keepNext w:val="0"/>
        <w:keepLines w:val="0"/>
        <w:pageBreakBefore w:val="0"/>
        <w:widowControl/>
        <w:kinsoku/>
        <w:wordWrap/>
        <w:overflowPunct/>
        <w:topLinePunct w:val="0"/>
        <w:autoSpaceDE/>
        <w:autoSpaceDN/>
        <w:bidi w:val="0"/>
        <w:adjustRightInd/>
        <w:snapToGrid/>
        <w:spacing w:line="560" w:lineRule="exact"/>
        <w:textAlignment w:val="auto"/>
        <w:rPr>
          <w:rFonts w:ascii="仿宋_GB2312" w:eastAsia="仿宋_GB2312"/>
          <w:sz w:val="32"/>
          <w:szCs w:val="32"/>
          <w:lang w:eastAsia="zh-CN"/>
        </w:rPr>
      </w:pPr>
      <w:r>
        <w:rPr>
          <w:rFonts w:ascii="仿宋_GB2312" w:eastAsia="仿宋_GB2312"/>
          <w:sz w:val="32"/>
          <w:szCs w:val="32"/>
          <w:lang w:eastAsia="zh-CN"/>
        </w:rPr>
        <w:t>（二）政府采购情况</w:t>
      </w:r>
    </w:p>
    <w:p>
      <w:pPr>
        <w:keepNext w:val="0"/>
        <w:keepLines w:val="0"/>
        <w:pageBreakBefore w:val="0"/>
        <w:widowControl/>
        <w:kinsoku/>
        <w:wordWrap/>
        <w:overflowPunct/>
        <w:topLinePunct w:val="0"/>
        <w:autoSpaceDE/>
        <w:autoSpaceDN/>
        <w:bidi w:val="0"/>
        <w:adjustRightInd/>
        <w:snapToGrid/>
        <w:spacing w:line="560" w:lineRule="exact"/>
        <w:textAlignment w:val="auto"/>
        <w:rPr>
          <w:rFonts w:ascii="仿宋_GB2312" w:eastAsia="仿宋_GB2312"/>
          <w:sz w:val="32"/>
          <w:szCs w:val="32"/>
          <w:lang w:eastAsia="zh-CN"/>
        </w:rPr>
      </w:pPr>
      <w:r>
        <w:rPr>
          <w:rFonts w:ascii="仿宋_GB2312" w:eastAsia="仿宋_GB2312"/>
          <w:sz w:val="32"/>
          <w:szCs w:val="32"/>
          <w:lang w:eastAsia="zh-CN"/>
        </w:rPr>
        <w:t>（三）国有资产占用情况说明</w:t>
      </w:r>
    </w:p>
    <w:p>
      <w:pPr>
        <w:keepNext w:val="0"/>
        <w:keepLines w:val="0"/>
        <w:pageBreakBefore w:val="0"/>
        <w:widowControl/>
        <w:kinsoku/>
        <w:wordWrap/>
        <w:overflowPunct/>
        <w:topLinePunct w:val="0"/>
        <w:autoSpaceDE/>
        <w:autoSpaceDN/>
        <w:bidi w:val="0"/>
        <w:adjustRightInd/>
        <w:snapToGrid/>
        <w:spacing w:line="560" w:lineRule="exact"/>
        <w:textAlignment w:val="auto"/>
        <w:rPr>
          <w:rFonts w:ascii="仿宋_GB2312" w:eastAsia="仿宋_GB2312"/>
          <w:sz w:val="32"/>
          <w:szCs w:val="32"/>
          <w:lang w:eastAsia="zh-CN"/>
        </w:rPr>
      </w:pPr>
      <w:r>
        <w:rPr>
          <w:rFonts w:ascii="仿宋_GB2312" w:eastAsia="仿宋_GB2312"/>
          <w:sz w:val="32"/>
          <w:szCs w:val="32"/>
          <w:lang w:eastAsia="zh-CN"/>
        </w:rPr>
        <w:t>十一、预算绩效的情况说明</w:t>
      </w:r>
    </w:p>
    <w:p>
      <w:pPr>
        <w:keepNext w:val="0"/>
        <w:keepLines w:val="0"/>
        <w:pageBreakBefore w:val="0"/>
        <w:widowControl/>
        <w:kinsoku/>
        <w:wordWrap/>
        <w:overflowPunct/>
        <w:topLinePunct w:val="0"/>
        <w:autoSpaceDE/>
        <w:autoSpaceDN/>
        <w:bidi w:val="0"/>
        <w:adjustRightInd/>
        <w:snapToGrid/>
        <w:spacing w:line="560" w:lineRule="exact"/>
        <w:textAlignment w:val="auto"/>
        <w:rPr>
          <w:rFonts w:ascii="仿宋_GB2312" w:eastAsia="仿宋_GB2312"/>
          <w:sz w:val="32"/>
          <w:szCs w:val="32"/>
          <w:lang w:eastAsia="zh-CN"/>
        </w:rPr>
      </w:pPr>
      <w:r>
        <w:rPr>
          <w:rFonts w:ascii="仿宋_GB2312" w:eastAsia="仿宋_GB2312"/>
          <w:sz w:val="32"/>
          <w:szCs w:val="32"/>
          <w:lang w:eastAsia="zh-CN"/>
        </w:rPr>
        <w:t>十二、其他需说明的事项</w:t>
      </w:r>
    </w:p>
    <w:p>
      <w:pPr>
        <w:keepNext w:val="0"/>
        <w:keepLines w:val="0"/>
        <w:pageBreakBefore w:val="0"/>
        <w:widowControl/>
        <w:kinsoku/>
        <w:wordWrap/>
        <w:overflowPunct/>
        <w:topLinePunct w:val="0"/>
        <w:autoSpaceDE/>
        <w:autoSpaceDN/>
        <w:bidi w:val="0"/>
        <w:adjustRightInd/>
        <w:snapToGrid/>
        <w:spacing w:line="560" w:lineRule="exact"/>
        <w:textAlignment w:val="auto"/>
        <w:rPr>
          <w:rFonts w:ascii="仿宋_GB2312" w:eastAsia="仿宋_GB2312"/>
          <w:sz w:val="32"/>
          <w:szCs w:val="32"/>
          <w:lang w:eastAsia="zh-CN"/>
        </w:rPr>
      </w:pPr>
      <w:r>
        <w:rPr>
          <w:rFonts w:ascii="仿宋_GB2312" w:eastAsia="仿宋_GB2312"/>
          <w:b/>
          <w:sz w:val="32"/>
          <w:szCs w:val="32"/>
          <w:lang w:eastAsia="zh-CN"/>
        </w:rPr>
        <w:t>第三部分</w:t>
      </w:r>
      <w:r>
        <w:rPr>
          <w:rFonts w:hint="default" w:ascii="仿宋_GB2312" w:eastAsia="仿宋_GB2312"/>
          <w:b/>
          <w:sz w:val="32"/>
          <w:szCs w:val="32"/>
          <w:lang w:val="en-US" w:eastAsia="zh-CN"/>
        </w:rPr>
        <w:t xml:space="preserve"> </w:t>
      </w:r>
      <w:r>
        <w:rPr>
          <w:rFonts w:ascii="仿宋_GB2312" w:eastAsia="仿宋_GB2312"/>
          <w:b/>
          <w:sz w:val="32"/>
          <w:szCs w:val="32"/>
          <w:lang w:eastAsia="zh-CN"/>
        </w:rPr>
        <w:t>专业名词解释</w:t>
      </w:r>
    </w:p>
    <w:p>
      <w:pPr>
        <w:keepNext w:val="0"/>
        <w:keepLines w:val="0"/>
        <w:pageBreakBefore w:val="0"/>
        <w:widowControl/>
        <w:kinsoku/>
        <w:wordWrap/>
        <w:overflowPunct/>
        <w:topLinePunct w:val="0"/>
        <w:autoSpaceDE/>
        <w:autoSpaceDN/>
        <w:bidi w:val="0"/>
        <w:adjustRightInd/>
        <w:snapToGrid/>
        <w:spacing w:line="560" w:lineRule="exact"/>
        <w:textAlignment w:val="auto"/>
        <w:rPr>
          <w:rFonts w:ascii="仿宋_GB2312" w:eastAsia="仿宋_GB2312"/>
          <w:sz w:val="32"/>
          <w:szCs w:val="32"/>
          <w:lang w:eastAsia="zh-CN"/>
        </w:rPr>
      </w:pPr>
      <w:r>
        <w:rPr>
          <w:rFonts w:ascii="仿宋_GB2312" w:eastAsia="仿宋_GB2312"/>
          <w:b/>
          <w:sz w:val="32"/>
          <w:szCs w:val="32"/>
          <w:lang w:eastAsia="zh-CN"/>
        </w:rPr>
        <w:t>第四部分</w:t>
      </w:r>
      <w:r>
        <w:rPr>
          <w:rFonts w:hint="default" w:ascii="仿宋_GB2312" w:eastAsia="仿宋_GB2312"/>
          <w:b/>
          <w:sz w:val="32"/>
          <w:szCs w:val="32"/>
          <w:lang w:val="en-US" w:eastAsia="zh-CN"/>
        </w:rPr>
        <w:t xml:space="preserve"> </w:t>
      </w:r>
      <w:r>
        <w:rPr>
          <w:rFonts w:ascii="仿宋_GB2312" w:eastAsia="仿宋_GB2312"/>
          <w:b/>
          <w:sz w:val="32"/>
          <w:szCs w:val="32"/>
          <w:lang w:eastAsia="zh-CN"/>
        </w:rPr>
        <w:t>部门决算报表（见附表）</w:t>
      </w:r>
    </w:p>
    <w:p>
      <w:pPr>
        <w:keepNext w:val="0"/>
        <w:keepLines w:val="0"/>
        <w:pageBreakBefore w:val="0"/>
        <w:widowControl/>
        <w:kinsoku/>
        <w:wordWrap/>
        <w:overflowPunct/>
        <w:topLinePunct w:val="0"/>
        <w:autoSpaceDE/>
        <w:autoSpaceDN/>
        <w:bidi w:val="0"/>
        <w:adjustRightInd/>
        <w:snapToGrid/>
        <w:spacing w:line="560" w:lineRule="exact"/>
        <w:textAlignment w:val="auto"/>
        <w:rPr>
          <w:rFonts w:ascii="仿宋_GB2312" w:eastAsia="仿宋_GB2312"/>
          <w:sz w:val="32"/>
          <w:szCs w:val="32"/>
          <w:lang w:eastAsia="zh-CN"/>
        </w:rPr>
      </w:pPr>
      <w:r>
        <w:rPr>
          <w:rFonts w:ascii="仿宋_GB2312" w:eastAsia="仿宋_GB2312"/>
          <w:sz w:val="32"/>
          <w:szCs w:val="32"/>
          <w:lang w:eastAsia="zh-CN"/>
        </w:rPr>
        <w:t>一、《收入支出决算总表》</w:t>
      </w:r>
    </w:p>
    <w:p>
      <w:pPr>
        <w:keepNext w:val="0"/>
        <w:keepLines w:val="0"/>
        <w:pageBreakBefore w:val="0"/>
        <w:widowControl/>
        <w:kinsoku/>
        <w:wordWrap/>
        <w:overflowPunct/>
        <w:topLinePunct w:val="0"/>
        <w:autoSpaceDE/>
        <w:autoSpaceDN/>
        <w:bidi w:val="0"/>
        <w:adjustRightInd/>
        <w:snapToGrid/>
        <w:spacing w:line="560" w:lineRule="exact"/>
        <w:textAlignment w:val="auto"/>
        <w:rPr>
          <w:rFonts w:ascii="仿宋_GB2312" w:eastAsia="仿宋_GB2312"/>
          <w:sz w:val="32"/>
          <w:szCs w:val="32"/>
          <w:lang w:eastAsia="zh-CN"/>
        </w:rPr>
      </w:pPr>
      <w:r>
        <w:rPr>
          <w:rFonts w:ascii="仿宋_GB2312" w:eastAsia="仿宋_GB2312"/>
          <w:sz w:val="32"/>
          <w:szCs w:val="32"/>
          <w:lang w:eastAsia="zh-CN"/>
        </w:rPr>
        <w:t>二、《收入决算表》</w:t>
      </w:r>
    </w:p>
    <w:p>
      <w:pPr>
        <w:keepNext w:val="0"/>
        <w:keepLines w:val="0"/>
        <w:pageBreakBefore w:val="0"/>
        <w:widowControl/>
        <w:kinsoku/>
        <w:wordWrap/>
        <w:overflowPunct/>
        <w:topLinePunct w:val="0"/>
        <w:autoSpaceDE/>
        <w:autoSpaceDN/>
        <w:bidi w:val="0"/>
        <w:adjustRightInd/>
        <w:snapToGrid/>
        <w:spacing w:line="560" w:lineRule="exact"/>
        <w:textAlignment w:val="auto"/>
        <w:rPr>
          <w:rFonts w:ascii="仿宋_GB2312" w:eastAsia="仿宋_GB2312"/>
          <w:sz w:val="32"/>
          <w:szCs w:val="32"/>
          <w:lang w:eastAsia="zh-CN"/>
        </w:rPr>
      </w:pPr>
      <w:r>
        <w:rPr>
          <w:rFonts w:ascii="仿宋_GB2312" w:eastAsia="仿宋_GB2312"/>
          <w:sz w:val="32"/>
          <w:szCs w:val="32"/>
          <w:lang w:eastAsia="zh-CN"/>
        </w:rPr>
        <w:t>三、《支出决算表》</w:t>
      </w:r>
    </w:p>
    <w:p>
      <w:pPr>
        <w:keepNext w:val="0"/>
        <w:keepLines w:val="0"/>
        <w:pageBreakBefore w:val="0"/>
        <w:widowControl/>
        <w:kinsoku/>
        <w:wordWrap/>
        <w:overflowPunct/>
        <w:topLinePunct w:val="0"/>
        <w:autoSpaceDE/>
        <w:autoSpaceDN/>
        <w:bidi w:val="0"/>
        <w:adjustRightInd/>
        <w:snapToGrid/>
        <w:spacing w:line="560" w:lineRule="exact"/>
        <w:textAlignment w:val="auto"/>
        <w:rPr>
          <w:rFonts w:ascii="仿宋_GB2312" w:eastAsia="仿宋_GB2312"/>
          <w:sz w:val="32"/>
          <w:szCs w:val="32"/>
          <w:lang w:eastAsia="zh-CN"/>
        </w:rPr>
      </w:pPr>
      <w:r>
        <w:rPr>
          <w:rFonts w:ascii="仿宋_GB2312" w:eastAsia="仿宋_GB2312"/>
          <w:sz w:val="32"/>
          <w:szCs w:val="32"/>
          <w:lang w:eastAsia="zh-CN"/>
        </w:rPr>
        <w:t>四、《财政拨款收入支出决算总表》</w:t>
      </w:r>
    </w:p>
    <w:p>
      <w:pPr>
        <w:keepNext w:val="0"/>
        <w:keepLines w:val="0"/>
        <w:pageBreakBefore w:val="0"/>
        <w:widowControl/>
        <w:kinsoku/>
        <w:wordWrap/>
        <w:overflowPunct/>
        <w:topLinePunct w:val="0"/>
        <w:autoSpaceDE/>
        <w:autoSpaceDN/>
        <w:bidi w:val="0"/>
        <w:adjustRightInd/>
        <w:snapToGrid/>
        <w:spacing w:line="560" w:lineRule="exact"/>
        <w:textAlignment w:val="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pPr>
        <w:keepNext w:val="0"/>
        <w:keepLines w:val="0"/>
        <w:pageBreakBefore w:val="0"/>
        <w:widowControl/>
        <w:kinsoku/>
        <w:wordWrap/>
        <w:overflowPunct/>
        <w:topLinePunct w:val="0"/>
        <w:autoSpaceDE/>
        <w:autoSpaceDN/>
        <w:bidi w:val="0"/>
        <w:adjustRightInd/>
        <w:snapToGrid/>
        <w:spacing w:line="560" w:lineRule="exact"/>
        <w:textAlignment w:val="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pPr>
        <w:keepNext w:val="0"/>
        <w:keepLines w:val="0"/>
        <w:pageBreakBefore w:val="0"/>
        <w:widowControl/>
        <w:kinsoku/>
        <w:wordWrap/>
        <w:overflowPunct/>
        <w:topLinePunct w:val="0"/>
        <w:autoSpaceDE/>
        <w:autoSpaceDN/>
        <w:bidi w:val="0"/>
        <w:adjustRightInd/>
        <w:snapToGrid/>
        <w:spacing w:line="560" w:lineRule="exact"/>
        <w:textAlignment w:val="auto"/>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pPr>
        <w:keepNext w:val="0"/>
        <w:keepLines w:val="0"/>
        <w:pageBreakBefore w:val="0"/>
        <w:widowControl/>
        <w:kinsoku/>
        <w:wordWrap/>
        <w:overflowPunct/>
        <w:topLinePunct w:val="0"/>
        <w:autoSpaceDE/>
        <w:autoSpaceDN/>
        <w:bidi w:val="0"/>
        <w:adjustRightInd/>
        <w:snapToGrid/>
        <w:spacing w:line="560" w:lineRule="exact"/>
        <w:textAlignment w:val="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pPr>
        <w:keepNext w:val="0"/>
        <w:keepLines w:val="0"/>
        <w:pageBreakBefore w:val="0"/>
        <w:widowControl/>
        <w:kinsoku/>
        <w:wordWrap/>
        <w:overflowPunct/>
        <w:topLinePunct w:val="0"/>
        <w:autoSpaceDE/>
        <w:autoSpaceDN/>
        <w:bidi w:val="0"/>
        <w:adjustRightInd/>
        <w:snapToGrid/>
        <w:spacing w:line="560" w:lineRule="exact"/>
        <w:textAlignment w:val="auto"/>
        <w:rPr>
          <w:rFonts w:ascii="仿宋_GB2312" w:eastAsia="仿宋_GB2312"/>
          <w:sz w:val="32"/>
          <w:szCs w:val="32"/>
          <w:lang w:eastAsia="zh-CN"/>
        </w:rPr>
      </w:pPr>
      <w:r>
        <w:rPr>
          <w:rFonts w:ascii="仿宋_GB2312" w:eastAsia="仿宋_GB2312"/>
          <w:sz w:val="32"/>
          <w:szCs w:val="32"/>
          <w:lang w:eastAsia="zh-CN"/>
        </w:rPr>
        <w:t>九、《财政拨款“三公”经费支出决算表》</w:t>
      </w:r>
    </w:p>
    <w:p>
      <w:pPr>
        <w:keepNext w:val="0"/>
        <w:keepLines w:val="0"/>
        <w:pageBreakBefore w:val="0"/>
        <w:widowControl/>
        <w:kinsoku/>
        <w:wordWrap/>
        <w:overflowPunct/>
        <w:topLinePunct w:val="0"/>
        <w:autoSpaceDE/>
        <w:autoSpaceDN/>
        <w:bidi w:val="0"/>
        <w:adjustRightInd/>
        <w:snapToGrid/>
        <w:spacing w:line="560" w:lineRule="exact"/>
        <w:textAlignment w:val="auto"/>
        <w:rPr>
          <w:lang w:eastAsia="zh-CN"/>
        </w:rPr>
      </w:pPr>
      <w:r>
        <w:rPr>
          <w:sz w:val="0"/>
          <w:szCs w:val="0"/>
          <w:lang w:eastAsia="zh-CN"/>
        </w:rPr>
        <w:br w:type="page"/>
      </w:r>
    </w:p>
    <w:p>
      <w:pPr>
        <w:keepNext w:val="0"/>
        <w:keepLines w:val="0"/>
        <w:pageBreakBefore w:val="0"/>
        <w:widowControl/>
        <w:kinsoku/>
        <w:wordWrap/>
        <w:overflowPunct/>
        <w:topLinePunct w:val="0"/>
        <w:autoSpaceDE/>
        <w:autoSpaceDN/>
        <w:bidi w:val="0"/>
        <w:adjustRightInd/>
        <w:snapToGrid/>
        <w:spacing w:line="560" w:lineRule="exact"/>
        <w:jc w:val="center"/>
        <w:textAlignment w:val="auto"/>
        <w:outlineLvl w:val="0"/>
        <w:rPr>
          <w:rFonts w:ascii="黑体" w:eastAsia="黑体"/>
          <w:sz w:val="32"/>
          <w:szCs w:val="32"/>
          <w:lang w:eastAsia="zh-CN"/>
        </w:rPr>
      </w:pPr>
      <w:r>
        <w:rPr>
          <w:rFonts w:ascii="黑体" w:eastAsia="黑体"/>
          <w:sz w:val="32"/>
          <w:szCs w:val="32"/>
          <w:lang w:eastAsia="zh-CN"/>
        </w:rPr>
        <w:t>第一部分</w:t>
      </w:r>
      <w:r>
        <w:rPr>
          <w:rFonts w:hint="default" w:ascii="黑体" w:eastAsia="黑体"/>
          <w:sz w:val="32"/>
          <w:szCs w:val="32"/>
          <w:lang w:val="en-US" w:eastAsia="zh-CN"/>
        </w:rPr>
        <w:t xml:space="preserve"> </w:t>
      </w:r>
      <w:r>
        <w:rPr>
          <w:rFonts w:ascii="黑体" w:eastAsia="黑体"/>
          <w:sz w:val="32"/>
          <w:szCs w:val="32"/>
          <w:lang w:eastAsia="zh-CN"/>
        </w:rPr>
        <w:t>单位概况</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outlineLvl w:val="1"/>
        <w:rPr>
          <w:rFonts w:ascii="黑体" w:eastAsia="黑体"/>
          <w:sz w:val="32"/>
          <w:szCs w:val="32"/>
          <w:lang w:eastAsia="zh-CN"/>
        </w:rPr>
      </w:pPr>
      <w:r>
        <w:rPr>
          <w:rFonts w:ascii="黑体" w:eastAsia="黑体"/>
          <w:sz w:val="32"/>
          <w:szCs w:val="32"/>
          <w:lang w:eastAsia="zh-CN"/>
        </w:rPr>
        <w:t>一、主要职能</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_GB2312" w:eastAsia="仿宋_GB2312"/>
          <w:sz w:val="32"/>
          <w:szCs w:val="32"/>
          <w:lang w:eastAsia="zh-CN"/>
        </w:rPr>
      </w:pPr>
      <w:r>
        <w:rPr>
          <w:rFonts w:hint="eastAsia" w:ascii="仿宋_GB2312" w:eastAsia="仿宋_GB2312"/>
          <w:sz w:val="32"/>
          <w:szCs w:val="32"/>
          <w:lang w:eastAsia="zh-CN"/>
        </w:rPr>
        <w:t>新疆维吾尔自治区维吾尔医药研究所于1983年6月以自治区卫生厅维吾尔医研究室名义成立，1993年改为新疆维吾尔自治区维吾尔医研究所并独立建制。2007年更名为新疆维吾尔自治区维吾尔医药研究所，由自治区卫生健康管理委员会和自治区科技厅双重管理。是专门从事维吾尔医和维吾尔药研究的科研机构。</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_GB2312" w:eastAsia="仿宋_GB2312"/>
          <w:sz w:val="32"/>
          <w:szCs w:val="32"/>
          <w:lang w:eastAsia="zh-CN"/>
        </w:rPr>
      </w:pPr>
      <w:r>
        <w:rPr>
          <w:rFonts w:hint="eastAsia" w:ascii="仿宋_GB2312" w:eastAsia="仿宋_GB2312"/>
          <w:sz w:val="32"/>
          <w:szCs w:val="32"/>
          <w:lang w:eastAsia="zh-CN"/>
        </w:rPr>
        <w:t>研究方向及职能：</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_GB2312" w:eastAsia="仿宋_GB2312"/>
          <w:sz w:val="32"/>
          <w:szCs w:val="32"/>
          <w:lang w:eastAsia="zh-CN"/>
        </w:rPr>
      </w:pPr>
      <w:r>
        <w:rPr>
          <w:rFonts w:hint="eastAsia" w:ascii="仿宋_GB2312" w:eastAsia="仿宋_GB2312"/>
          <w:sz w:val="32"/>
          <w:szCs w:val="32"/>
          <w:lang w:eastAsia="zh-CN"/>
        </w:rPr>
        <w:t>（1）收集、整理、提升、出版和保护维吾尔医药古籍文献，建立维吾尔医药文献资料库，推动维吾尔医药文化传承与发展，同时为临床、教学、科研和医药企业服务。</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_GB2312" w:eastAsia="仿宋_GB2312"/>
          <w:sz w:val="32"/>
          <w:szCs w:val="32"/>
          <w:lang w:eastAsia="zh-CN"/>
        </w:rPr>
      </w:pPr>
      <w:r>
        <w:rPr>
          <w:rFonts w:hint="eastAsia" w:ascii="仿宋_GB2312" w:eastAsia="仿宋_GB2312"/>
          <w:sz w:val="32"/>
          <w:szCs w:val="32"/>
          <w:lang w:eastAsia="zh-CN"/>
        </w:rPr>
        <w:t>（2）对维吾尔医药基础理论和临床诊疗理论进行收集、整理、提高和创新研究，完善、提升和推广维吾尔医药理论体系。</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_GB2312" w:eastAsia="仿宋_GB2312"/>
          <w:sz w:val="32"/>
          <w:szCs w:val="32"/>
          <w:lang w:eastAsia="zh-CN"/>
        </w:rPr>
      </w:pPr>
      <w:r>
        <w:rPr>
          <w:rFonts w:hint="eastAsia" w:ascii="仿宋_GB2312" w:eastAsia="仿宋_GB2312"/>
          <w:sz w:val="32"/>
          <w:szCs w:val="32"/>
          <w:lang w:eastAsia="zh-CN"/>
        </w:rPr>
        <w:t>（3）对维吾尔医临床有效诊治方法及其技术、制剂等进行研究提升，反馈给临床，进行临床再评价研究，为临床提供新思路、新方案、新技术、新标准及新制剂。</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_GB2312" w:eastAsia="仿宋_GB2312"/>
          <w:sz w:val="32"/>
          <w:szCs w:val="32"/>
          <w:lang w:eastAsia="zh-CN"/>
        </w:rPr>
      </w:pPr>
      <w:r>
        <w:rPr>
          <w:rFonts w:hint="eastAsia" w:ascii="仿宋_GB2312" w:eastAsia="仿宋_GB2312"/>
          <w:sz w:val="32"/>
          <w:szCs w:val="32"/>
          <w:lang w:eastAsia="zh-CN"/>
        </w:rPr>
        <w:t>（4）在维吾尔医药理论指导下，进行药学和药理学研究，研制开发有特色、安全有效，疗效确切的医院制剂和维吾尔药新药。</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_GB2312" w:eastAsia="仿宋_GB2312"/>
          <w:sz w:val="32"/>
          <w:szCs w:val="32"/>
          <w:lang w:eastAsia="zh-CN"/>
        </w:rPr>
      </w:pPr>
      <w:r>
        <w:rPr>
          <w:rFonts w:hint="eastAsia" w:ascii="仿宋_GB2312" w:eastAsia="仿宋_GB2312"/>
          <w:sz w:val="32"/>
          <w:szCs w:val="32"/>
          <w:lang w:eastAsia="zh-CN"/>
        </w:rPr>
        <w:t>（5）以国家食品药品监督管理局“GLP中心”为平台，为区内外新药研发单位和企业提供药物非临床安全性评价服务。</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_GB2312" w:eastAsia="仿宋_GB2312"/>
          <w:sz w:val="32"/>
          <w:szCs w:val="32"/>
          <w:lang w:eastAsia="zh-CN"/>
        </w:rPr>
      </w:pPr>
      <w:r>
        <w:rPr>
          <w:rFonts w:hint="eastAsia" w:ascii="仿宋_GB2312" w:eastAsia="仿宋_GB2312"/>
          <w:sz w:val="32"/>
          <w:szCs w:val="32"/>
          <w:lang w:eastAsia="zh-CN"/>
        </w:rPr>
        <w:t>（6）办好《维吾尔医药》杂志的维、汉文版，加深自身学术交流以及与其它医学领域的学术交流，为基层民族医药工作者服务。</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_GB2312" w:eastAsia="仿宋_GB2312"/>
          <w:sz w:val="32"/>
          <w:szCs w:val="32"/>
          <w:lang w:eastAsia="zh-CN"/>
        </w:rPr>
      </w:pPr>
      <w:r>
        <w:rPr>
          <w:rFonts w:hint="eastAsia" w:ascii="仿宋_GB2312" w:eastAsia="仿宋_GB2312"/>
          <w:sz w:val="32"/>
          <w:szCs w:val="32"/>
          <w:lang w:eastAsia="zh-CN"/>
        </w:rPr>
        <w:t>（7）充分利用现有技术平台，与新疆医科大学等高等学府联合培养高层次、高水平的维医和维药研究人员。</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outlineLvl w:val="1"/>
        <w:rPr>
          <w:rFonts w:ascii="黑体" w:eastAsia="黑体"/>
          <w:sz w:val="32"/>
          <w:szCs w:val="32"/>
          <w:lang w:eastAsia="zh-CN"/>
        </w:rPr>
      </w:pPr>
      <w:r>
        <w:rPr>
          <w:rFonts w:ascii="黑体" w:eastAsia="黑体"/>
          <w:sz w:val="32"/>
          <w:szCs w:val="32"/>
          <w:lang w:eastAsia="zh-CN"/>
        </w:rPr>
        <w:t>二、机构设置及人员情况</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sz w:val="32"/>
          <w:szCs w:val="32"/>
          <w:lang w:eastAsia="zh-CN"/>
        </w:rPr>
      </w:pPr>
      <w:r>
        <w:rPr>
          <w:rFonts w:ascii="仿宋_GB2312" w:eastAsia="仿宋_GB2312"/>
          <w:sz w:val="32"/>
          <w:szCs w:val="32"/>
          <w:lang w:eastAsia="zh-CN"/>
        </w:rPr>
        <w:t>新疆维吾尔自治区维吾尔医药研究所2024年度，实有人数29人，其中：在职人员22人，较上年无变化；离休人员0人，较上年无变化；退休人员7人，增加1人。</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sz w:val="32"/>
          <w:szCs w:val="32"/>
          <w:lang w:eastAsia="zh-CN"/>
        </w:rPr>
      </w:pPr>
      <w:r>
        <w:rPr>
          <w:rFonts w:ascii="仿宋_GB2312" w:eastAsia="仿宋_GB2312"/>
          <w:sz w:val="32"/>
          <w:szCs w:val="32"/>
          <w:lang w:eastAsia="zh-CN"/>
        </w:rPr>
        <w:t>新疆维吾尔自治区维吾尔医药研究所无下属预算单位，下设6个科室，分别是：综合办公室、毒理室、文献室、药理室、药剂室、标准室。</w:t>
      </w:r>
    </w:p>
    <w:p>
      <w:pPr>
        <w:keepNext w:val="0"/>
        <w:keepLines w:val="0"/>
        <w:pageBreakBefore w:val="0"/>
        <w:widowControl/>
        <w:kinsoku/>
        <w:wordWrap/>
        <w:overflowPunct/>
        <w:topLinePunct w:val="0"/>
        <w:autoSpaceDE/>
        <w:autoSpaceDN/>
        <w:bidi w:val="0"/>
        <w:adjustRightInd/>
        <w:snapToGrid/>
        <w:spacing w:line="560" w:lineRule="exact"/>
        <w:textAlignment w:val="auto"/>
        <w:rPr>
          <w:lang w:eastAsia="zh-CN"/>
        </w:rPr>
      </w:pPr>
      <w:r>
        <w:rPr>
          <w:sz w:val="0"/>
          <w:szCs w:val="0"/>
          <w:lang w:eastAsia="zh-CN"/>
        </w:rPr>
        <w:br w:type="page"/>
      </w:r>
    </w:p>
    <w:p>
      <w:pPr>
        <w:keepNext w:val="0"/>
        <w:keepLines w:val="0"/>
        <w:pageBreakBefore w:val="0"/>
        <w:widowControl/>
        <w:kinsoku/>
        <w:wordWrap/>
        <w:overflowPunct/>
        <w:topLinePunct w:val="0"/>
        <w:autoSpaceDE/>
        <w:autoSpaceDN/>
        <w:bidi w:val="0"/>
        <w:adjustRightInd/>
        <w:snapToGrid/>
        <w:spacing w:line="560" w:lineRule="exact"/>
        <w:jc w:val="center"/>
        <w:textAlignment w:val="auto"/>
        <w:outlineLvl w:val="0"/>
        <w:rPr>
          <w:rFonts w:ascii="黑体" w:eastAsia="黑体"/>
          <w:sz w:val="32"/>
          <w:szCs w:val="32"/>
          <w:lang w:eastAsia="zh-CN"/>
        </w:rPr>
      </w:pPr>
      <w:r>
        <w:rPr>
          <w:rFonts w:ascii="黑体" w:eastAsia="黑体"/>
          <w:sz w:val="32"/>
          <w:szCs w:val="32"/>
          <w:lang w:eastAsia="zh-CN"/>
        </w:rPr>
        <w:t>第二部分</w:t>
      </w:r>
      <w:r>
        <w:rPr>
          <w:rFonts w:hint="default" w:ascii="黑体" w:eastAsia="黑体"/>
          <w:sz w:val="32"/>
          <w:szCs w:val="32"/>
          <w:lang w:val="en-US" w:eastAsia="zh-CN"/>
        </w:rPr>
        <w:t xml:space="preserve"> </w:t>
      </w:r>
      <w:r>
        <w:rPr>
          <w:rFonts w:ascii="黑体" w:eastAsia="黑体"/>
          <w:sz w:val="32"/>
          <w:szCs w:val="32"/>
          <w:lang w:eastAsia="zh-CN"/>
        </w:rPr>
        <w:t>部门决算情况说明</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outlineLvl w:val="1"/>
        <w:rPr>
          <w:rFonts w:ascii="黑体" w:eastAsia="黑体"/>
          <w:sz w:val="32"/>
          <w:szCs w:val="32"/>
          <w:lang w:eastAsia="zh-CN"/>
        </w:rPr>
      </w:pPr>
      <w:r>
        <w:rPr>
          <w:rFonts w:ascii="黑体" w:eastAsia="黑体"/>
          <w:sz w:val="32"/>
          <w:szCs w:val="32"/>
          <w:lang w:eastAsia="zh-CN"/>
        </w:rPr>
        <w:t>一、收入支出决算总体情况说明</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sz w:val="32"/>
          <w:szCs w:val="32"/>
          <w:lang w:eastAsia="zh-CN"/>
        </w:rPr>
      </w:pPr>
      <w:r>
        <w:rPr>
          <w:rFonts w:ascii="仿宋_GB2312" w:eastAsia="仿宋_GB2312"/>
          <w:sz w:val="32"/>
          <w:szCs w:val="32"/>
          <w:lang w:eastAsia="zh-CN"/>
        </w:rPr>
        <w:t>2024年度收入总计1,903.09万元，其中：本年收入合计1,247.98万元，使用非财政拨款结余（含专用结余）0.00万元，年初结转和结余655.11万元。</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sz w:val="32"/>
          <w:szCs w:val="32"/>
          <w:lang w:eastAsia="zh-CN"/>
        </w:rPr>
      </w:pPr>
      <w:r>
        <w:rPr>
          <w:rFonts w:ascii="仿宋_GB2312" w:eastAsia="仿宋_GB2312"/>
          <w:sz w:val="32"/>
          <w:szCs w:val="32"/>
          <w:lang w:eastAsia="zh-CN"/>
        </w:rPr>
        <w:t>2024年度支出总计1,903.09万元，其中：本年支出合计1,196.77万元，结余分配0.00万元，年末结转和结余706.32万元。</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sz w:val="32"/>
          <w:szCs w:val="32"/>
          <w:lang w:eastAsia="zh-CN"/>
        </w:rPr>
      </w:pPr>
      <w:r>
        <w:rPr>
          <w:rFonts w:ascii="仿宋_GB2312" w:eastAsia="仿宋_GB2312"/>
          <w:sz w:val="32"/>
          <w:szCs w:val="32"/>
          <w:lang w:eastAsia="zh-CN"/>
        </w:rPr>
        <w:t>收入支出总体与上年相比，减少98.70万元，下降4.93%，主要原因是：收到其他科研单位拨付课题项目收入减少、技术服务收入减少。</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outlineLvl w:val="1"/>
        <w:rPr>
          <w:rFonts w:ascii="黑体" w:eastAsia="黑体"/>
          <w:sz w:val="32"/>
          <w:szCs w:val="32"/>
          <w:lang w:eastAsia="zh-CN"/>
        </w:rPr>
      </w:pPr>
      <w:r>
        <w:rPr>
          <w:rFonts w:ascii="黑体" w:eastAsia="黑体"/>
          <w:sz w:val="32"/>
          <w:szCs w:val="32"/>
          <w:lang w:eastAsia="zh-CN"/>
        </w:rPr>
        <w:t>二、收入决算情况说明</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sz w:val="32"/>
          <w:szCs w:val="32"/>
          <w:lang w:eastAsia="zh-CN"/>
        </w:rPr>
      </w:pPr>
      <w:r>
        <w:rPr>
          <w:rFonts w:ascii="仿宋_GB2312" w:eastAsia="仿宋_GB2312"/>
          <w:sz w:val="32"/>
          <w:szCs w:val="32"/>
          <w:lang w:eastAsia="zh-CN"/>
        </w:rPr>
        <w:t>本年收入1,247.98万元，其中：财政拨款收入769.29万元,占61.64%；上级补助收入0.00万元,占0.00%；事业收入0.00万元，占0.00%；经营收入0.00万元,占0.00%；附属单位上缴收入0.00万元，占0.00%；其他收入478.70万元，占38.36%。</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outlineLvl w:val="1"/>
        <w:rPr>
          <w:rFonts w:ascii="黑体" w:eastAsia="黑体"/>
          <w:sz w:val="32"/>
          <w:szCs w:val="32"/>
          <w:lang w:eastAsia="zh-CN"/>
        </w:rPr>
      </w:pPr>
      <w:r>
        <w:rPr>
          <w:rFonts w:ascii="黑体" w:eastAsia="黑体"/>
          <w:sz w:val="32"/>
          <w:szCs w:val="32"/>
          <w:lang w:eastAsia="zh-CN"/>
        </w:rPr>
        <w:t>三、支出决算情况说明</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sz w:val="32"/>
          <w:szCs w:val="32"/>
          <w:lang w:eastAsia="zh-CN"/>
        </w:rPr>
      </w:pPr>
      <w:r>
        <w:rPr>
          <w:rFonts w:ascii="仿宋_GB2312" w:eastAsia="仿宋_GB2312"/>
          <w:sz w:val="32"/>
          <w:szCs w:val="32"/>
          <w:lang w:eastAsia="zh-CN"/>
        </w:rPr>
        <w:t>本年支出1,196.77万元，其中：基本支出592.11万元，占49.48%；项目支出604.66万元，占50.52%；上缴上级支出0.00万元，占0.00%；经营支出0.00万元，占0.00%；对附属单位补助支出0.00万元，占0.00%。</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outlineLvl w:val="1"/>
        <w:rPr>
          <w:rFonts w:ascii="黑体" w:eastAsia="黑体"/>
          <w:sz w:val="32"/>
          <w:szCs w:val="32"/>
          <w:lang w:eastAsia="zh-CN"/>
        </w:rPr>
      </w:pPr>
      <w:r>
        <w:rPr>
          <w:rFonts w:ascii="黑体" w:eastAsia="黑体"/>
          <w:sz w:val="32"/>
          <w:szCs w:val="32"/>
          <w:lang w:eastAsia="zh-CN"/>
        </w:rPr>
        <w:t>四、财政拨款收入支出决算总体情况说明</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sz w:val="32"/>
          <w:szCs w:val="32"/>
          <w:lang w:eastAsia="zh-CN"/>
        </w:rPr>
      </w:pPr>
      <w:r>
        <w:rPr>
          <w:rFonts w:ascii="仿宋_GB2312" w:eastAsia="仿宋_GB2312"/>
          <w:sz w:val="32"/>
          <w:szCs w:val="32"/>
          <w:lang w:eastAsia="zh-CN"/>
        </w:rPr>
        <w:t>2024年度财政拨款收入总计769.29万元，其中：年初财政拨款结转和结余0.00万元，本年财政拨款收入769.29万元。财政拨款支出总计769.29万元，其中：年末财政拨款结转和结余0.00万元，本年财政拨款支出769.29万元。</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sz w:val="32"/>
          <w:szCs w:val="32"/>
          <w:lang w:eastAsia="zh-CN"/>
        </w:rPr>
      </w:pPr>
      <w:r>
        <w:rPr>
          <w:rFonts w:ascii="仿宋_GB2312" w:eastAsia="仿宋_GB2312"/>
          <w:sz w:val="32"/>
          <w:szCs w:val="32"/>
          <w:lang w:eastAsia="zh-CN"/>
        </w:rPr>
        <w:t>财政拨款收入支出总体与上年相比，增加24.57万元，增长3.30%，主要原因是：</w:t>
      </w:r>
      <w:r>
        <w:rPr>
          <w:rFonts w:hint="eastAsia" w:ascii="仿宋_GB2312" w:eastAsia="仿宋_GB2312"/>
          <w:sz w:val="32"/>
          <w:szCs w:val="32"/>
          <w:lang w:eastAsia="zh-CN"/>
        </w:rPr>
        <w:t>人员</w:t>
      </w:r>
      <w:r>
        <w:rPr>
          <w:rFonts w:ascii="仿宋_GB2312" w:eastAsia="仿宋_GB2312"/>
          <w:sz w:val="32"/>
          <w:szCs w:val="32"/>
          <w:lang w:eastAsia="zh-CN"/>
        </w:rPr>
        <w:t>职称变动</w:t>
      </w:r>
      <w:r>
        <w:rPr>
          <w:rFonts w:hint="eastAsia" w:ascii="仿宋_GB2312" w:eastAsia="仿宋_GB2312"/>
          <w:sz w:val="32"/>
          <w:szCs w:val="32"/>
          <w:lang w:eastAsia="zh-CN"/>
        </w:rPr>
        <w:t>导致</w:t>
      </w:r>
      <w:r>
        <w:rPr>
          <w:rFonts w:ascii="仿宋_GB2312" w:eastAsia="仿宋_GB2312"/>
          <w:sz w:val="32"/>
          <w:szCs w:val="32"/>
          <w:lang w:eastAsia="zh-CN"/>
        </w:rPr>
        <w:t>人员经费增加</w:t>
      </w:r>
      <w:r>
        <w:rPr>
          <w:rFonts w:hint="eastAsia" w:ascii="仿宋_GB2312" w:eastAsia="仿宋_GB2312"/>
          <w:sz w:val="32"/>
          <w:szCs w:val="32"/>
          <w:lang w:eastAsia="zh-CN"/>
        </w:rPr>
        <w:t>，本年追加2024年医药（维吾尔医药）古籍文献研究与保护利用能力提升等财政拨款项目</w:t>
      </w:r>
      <w:r>
        <w:rPr>
          <w:rFonts w:ascii="仿宋_GB2312" w:eastAsia="仿宋_GB2312"/>
          <w:sz w:val="32"/>
          <w:szCs w:val="32"/>
          <w:lang w:eastAsia="zh-CN"/>
        </w:rPr>
        <w:t>。与年初预算相比，年初预算数705.20万元，决算数769.29万元，预决算差异率9.09%，主要原因是：</w:t>
      </w:r>
      <w:r>
        <w:rPr>
          <w:rFonts w:hint="eastAsia" w:ascii="仿宋_GB2312" w:eastAsia="仿宋_GB2312"/>
          <w:sz w:val="32"/>
          <w:szCs w:val="32"/>
          <w:lang w:eastAsia="zh-CN"/>
        </w:rPr>
        <w:t>人员</w:t>
      </w:r>
      <w:r>
        <w:rPr>
          <w:rFonts w:ascii="仿宋_GB2312" w:eastAsia="仿宋_GB2312"/>
          <w:sz w:val="32"/>
          <w:szCs w:val="32"/>
          <w:lang w:eastAsia="zh-CN"/>
        </w:rPr>
        <w:t>职称变动</w:t>
      </w:r>
      <w:r>
        <w:rPr>
          <w:rFonts w:hint="eastAsia" w:ascii="仿宋_GB2312" w:eastAsia="仿宋_GB2312"/>
          <w:sz w:val="32"/>
          <w:szCs w:val="32"/>
          <w:lang w:eastAsia="zh-CN"/>
        </w:rPr>
        <w:t>导致</w:t>
      </w:r>
      <w:r>
        <w:rPr>
          <w:rFonts w:ascii="仿宋_GB2312" w:eastAsia="仿宋_GB2312"/>
          <w:sz w:val="32"/>
          <w:szCs w:val="32"/>
          <w:lang w:eastAsia="zh-CN"/>
        </w:rPr>
        <w:t>人员经费增加</w:t>
      </w:r>
      <w:r>
        <w:rPr>
          <w:rFonts w:hint="eastAsia" w:ascii="仿宋_GB2312" w:eastAsia="仿宋_GB2312"/>
          <w:sz w:val="32"/>
          <w:szCs w:val="32"/>
          <w:lang w:eastAsia="zh-CN"/>
        </w:rPr>
        <w:t>，</w:t>
      </w:r>
      <w:r>
        <w:rPr>
          <w:rFonts w:ascii="仿宋_GB2312" w:eastAsia="仿宋_GB2312"/>
          <w:sz w:val="32"/>
          <w:szCs w:val="32"/>
          <w:lang w:eastAsia="zh-CN"/>
        </w:rPr>
        <w:t>年中追加</w:t>
      </w:r>
      <w:r>
        <w:rPr>
          <w:rFonts w:hint="eastAsia" w:ascii="仿宋_GB2312" w:eastAsia="仿宋_GB2312"/>
          <w:sz w:val="32"/>
          <w:szCs w:val="32"/>
          <w:lang w:eastAsia="zh-CN"/>
        </w:rPr>
        <w:t>2024年医药（维吾尔医药）古籍文献研究与保护利用能力提升等</w:t>
      </w:r>
      <w:r>
        <w:rPr>
          <w:rFonts w:ascii="仿宋_GB2312" w:eastAsia="仿宋_GB2312"/>
          <w:sz w:val="32"/>
          <w:szCs w:val="32"/>
          <w:lang w:eastAsia="zh-CN"/>
        </w:rPr>
        <w:t>财政</w:t>
      </w:r>
      <w:r>
        <w:rPr>
          <w:rFonts w:hint="eastAsia" w:ascii="仿宋_GB2312" w:eastAsia="仿宋_GB2312"/>
          <w:sz w:val="32"/>
          <w:szCs w:val="32"/>
          <w:lang w:eastAsia="zh-CN"/>
        </w:rPr>
        <w:t>拨款</w:t>
      </w:r>
      <w:r>
        <w:rPr>
          <w:rFonts w:ascii="仿宋_GB2312" w:eastAsia="仿宋_GB2312"/>
          <w:sz w:val="32"/>
          <w:szCs w:val="32"/>
          <w:lang w:eastAsia="zh-CN"/>
        </w:rPr>
        <w:t>项目。</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pPr>
        <w:keepNext w:val="0"/>
        <w:keepLines w:val="0"/>
        <w:pageBreakBefore w:val="0"/>
        <w:widowControl/>
        <w:kinsoku/>
        <w:wordWrap/>
        <w:overflowPunct/>
        <w:topLinePunct w:val="0"/>
        <w:autoSpaceDE/>
        <w:autoSpaceDN/>
        <w:bidi w:val="0"/>
        <w:adjustRightInd/>
        <w:snapToGrid/>
        <w:spacing w:line="560" w:lineRule="exact"/>
        <w:ind w:firstLine="643" w:firstLineChars="200"/>
        <w:textAlignment w:val="auto"/>
        <w:outlineLvl w:val="2"/>
        <w:rPr>
          <w:rFonts w:ascii="黑体" w:eastAsia="黑体"/>
          <w:sz w:val="32"/>
          <w:szCs w:val="32"/>
          <w:lang w:eastAsia="zh-CN"/>
        </w:rPr>
      </w:pPr>
      <w:r>
        <w:rPr>
          <w:rFonts w:ascii="黑体" w:eastAsia="黑体"/>
          <w:b/>
          <w:sz w:val="32"/>
          <w:szCs w:val="32"/>
          <w:lang w:eastAsia="zh-CN"/>
        </w:rPr>
        <w:t>（一）一般公共预算财政拨款支出决算总体情况</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sz w:val="32"/>
          <w:szCs w:val="32"/>
          <w:lang w:eastAsia="zh-CN"/>
        </w:rPr>
      </w:pPr>
      <w:r>
        <w:rPr>
          <w:rFonts w:ascii="仿宋_GB2312" w:eastAsia="仿宋_GB2312"/>
          <w:sz w:val="32"/>
          <w:szCs w:val="32"/>
          <w:lang w:eastAsia="zh-CN"/>
        </w:rPr>
        <w:t>2024年度一般公共预算财政拨款支出769.29万元，占本年支出合计的64.28%。与上年相比，增加24.57万元，增长3.30%，主要原因是：</w:t>
      </w:r>
      <w:r>
        <w:rPr>
          <w:rFonts w:hint="eastAsia" w:ascii="仿宋_GB2312" w:eastAsia="仿宋_GB2312"/>
          <w:sz w:val="32"/>
          <w:szCs w:val="32"/>
          <w:lang w:eastAsia="zh-CN"/>
        </w:rPr>
        <w:t>人员</w:t>
      </w:r>
      <w:r>
        <w:rPr>
          <w:rFonts w:ascii="仿宋_GB2312" w:eastAsia="仿宋_GB2312"/>
          <w:sz w:val="32"/>
          <w:szCs w:val="32"/>
          <w:lang w:eastAsia="zh-CN"/>
        </w:rPr>
        <w:t>职称变动</w:t>
      </w:r>
      <w:r>
        <w:rPr>
          <w:rFonts w:hint="eastAsia" w:ascii="仿宋_GB2312" w:eastAsia="仿宋_GB2312"/>
          <w:sz w:val="32"/>
          <w:szCs w:val="32"/>
          <w:lang w:eastAsia="zh-CN"/>
        </w:rPr>
        <w:t>导致</w:t>
      </w:r>
      <w:r>
        <w:rPr>
          <w:rFonts w:ascii="仿宋_GB2312" w:eastAsia="仿宋_GB2312"/>
          <w:sz w:val="32"/>
          <w:szCs w:val="32"/>
          <w:lang w:eastAsia="zh-CN"/>
        </w:rPr>
        <w:t>人员经费增加</w:t>
      </w:r>
      <w:r>
        <w:rPr>
          <w:rFonts w:hint="eastAsia" w:ascii="仿宋_GB2312" w:eastAsia="仿宋_GB2312"/>
          <w:sz w:val="32"/>
          <w:szCs w:val="32"/>
          <w:lang w:eastAsia="zh-CN"/>
        </w:rPr>
        <w:t>，本年追加2024年医药（维吾尔医药）古籍文献研究与保护利用能力提升等财政拨款项目</w:t>
      </w:r>
      <w:r>
        <w:rPr>
          <w:rFonts w:ascii="仿宋_GB2312" w:eastAsia="仿宋_GB2312"/>
          <w:sz w:val="32"/>
          <w:szCs w:val="32"/>
          <w:lang w:eastAsia="zh-CN"/>
        </w:rPr>
        <w:t>。与年初预算相比，年初预算数705.20万元，决算数769.29万元，预决算差异率9.09%，主要原因是：</w:t>
      </w:r>
      <w:r>
        <w:rPr>
          <w:rFonts w:hint="eastAsia" w:ascii="仿宋_GB2312" w:eastAsia="仿宋_GB2312"/>
          <w:sz w:val="32"/>
          <w:szCs w:val="32"/>
          <w:lang w:eastAsia="zh-CN"/>
        </w:rPr>
        <w:t>人员</w:t>
      </w:r>
      <w:r>
        <w:rPr>
          <w:rFonts w:ascii="仿宋_GB2312" w:eastAsia="仿宋_GB2312"/>
          <w:sz w:val="32"/>
          <w:szCs w:val="32"/>
          <w:lang w:eastAsia="zh-CN"/>
        </w:rPr>
        <w:t>职称变动</w:t>
      </w:r>
      <w:r>
        <w:rPr>
          <w:rFonts w:hint="eastAsia" w:ascii="仿宋_GB2312" w:eastAsia="仿宋_GB2312"/>
          <w:sz w:val="32"/>
          <w:szCs w:val="32"/>
          <w:lang w:eastAsia="zh-CN"/>
        </w:rPr>
        <w:t>导致</w:t>
      </w:r>
      <w:r>
        <w:rPr>
          <w:rFonts w:ascii="仿宋_GB2312" w:eastAsia="仿宋_GB2312"/>
          <w:sz w:val="32"/>
          <w:szCs w:val="32"/>
          <w:lang w:eastAsia="zh-CN"/>
        </w:rPr>
        <w:t>人员经费增加</w:t>
      </w:r>
      <w:r>
        <w:rPr>
          <w:rFonts w:hint="eastAsia" w:ascii="仿宋_GB2312" w:eastAsia="仿宋_GB2312"/>
          <w:sz w:val="32"/>
          <w:szCs w:val="32"/>
          <w:lang w:eastAsia="zh-CN"/>
        </w:rPr>
        <w:t>，</w:t>
      </w:r>
      <w:r>
        <w:rPr>
          <w:rFonts w:ascii="仿宋_GB2312" w:eastAsia="仿宋_GB2312"/>
          <w:sz w:val="32"/>
          <w:szCs w:val="32"/>
          <w:lang w:eastAsia="zh-CN"/>
        </w:rPr>
        <w:t>年中追加</w:t>
      </w:r>
      <w:r>
        <w:rPr>
          <w:rFonts w:hint="eastAsia" w:ascii="仿宋_GB2312" w:eastAsia="仿宋_GB2312"/>
          <w:sz w:val="32"/>
          <w:szCs w:val="32"/>
          <w:lang w:eastAsia="zh-CN"/>
        </w:rPr>
        <w:t>2024年医药（维吾尔医药）古籍文献研究与保护利用能力提升等</w:t>
      </w:r>
      <w:r>
        <w:rPr>
          <w:rFonts w:ascii="仿宋_GB2312" w:eastAsia="仿宋_GB2312"/>
          <w:sz w:val="32"/>
          <w:szCs w:val="32"/>
          <w:lang w:eastAsia="zh-CN"/>
        </w:rPr>
        <w:t>财政</w:t>
      </w:r>
      <w:r>
        <w:rPr>
          <w:rFonts w:hint="eastAsia" w:ascii="仿宋_GB2312" w:eastAsia="仿宋_GB2312"/>
          <w:sz w:val="32"/>
          <w:szCs w:val="32"/>
          <w:lang w:eastAsia="zh-CN"/>
        </w:rPr>
        <w:t>拨款</w:t>
      </w:r>
      <w:r>
        <w:rPr>
          <w:rFonts w:ascii="仿宋_GB2312" w:eastAsia="仿宋_GB2312"/>
          <w:sz w:val="32"/>
          <w:szCs w:val="32"/>
          <w:lang w:eastAsia="zh-CN"/>
        </w:rPr>
        <w:t>项目。</w:t>
      </w:r>
    </w:p>
    <w:p>
      <w:pPr>
        <w:keepNext w:val="0"/>
        <w:keepLines w:val="0"/>
        <w:pageBreakBefore w:val="0"/>
        <w:widowControl/>
        <w:kinsoku/>
        <w:wordWrap/>
        <w:overflowPunct/>
        <w:topLinePunct w:val="0"/>
        <w:autoSpaceDE/>
        <w:autoSpaceDN/>
        <w:bidi w:val="0"/>
        <w:adjustRightInd/>
        <w:snapToGrid/>
        <w:spacing w:line="560" w:lineRule="exact"/>
        <w:ind w:firstLine="643" w:firstLineChars="200"/>
        <w:textAlignment w:val="auto"/>
        <w:outlineLvl w:val="2"/>
        <w:rPr>
          <w:rFonts w:ascii="黑体" w:eastAsia="黑体"/>
          <w:sz w:val="32"/>
          <w:szCs w:val="32"/>
          <w:lang w:eastAsia="zh-CN"/>
        </w:rPr>
      </w:pPr>
      <w:r>
        <w:rPr>
          <w:rFonts w:ascii="黑体" w:eastAsia="黑体"/>
          <w:b/>
          <w:sz w:val="32"/>
          <w:szCs w:val="32"/>
          <w:lang w:eastAsia="zh-CN"/>
        </w:rPr>
        <w:t>（二）一般公共预算财政拨款支出决算结构情况</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sz w:val="32"/>
          <w:szCs w:val="32"/>
          <w:lang w:eastAsia="zh-CN"/>
        </w:rPr>
      </w:pPr>
      <w:r>
        <w:rPr>
          <w:rFonts w:ascii="仿宋_GB2312" w:eastAsia="仿宋_GB2312"/>
          <w:sz w:val="32"/>
          <w:szCs w:val="32"/>
          <w:lang w:eastAsia="zh-CN"/>
        </w:rPr>
        <w:t>科学技术支出（类）620.61万元，占80.67%。</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sz w:val="32"/>
          <w:szCs w:val="32"/>
          <w:lang w:eastAsia="zh-CN"/>
        </w:rPr>
      </w:pPr>
      <w:r>
        <w:rPr>
          <w:rFonts w:ascii="仿宋_GB2312" w:eastAsia="仿宋_GB2312"/>
          <w:sz w:val="32"/>
          <w:szCs w:val="32"/>
          <w:lang w:eastAsia="zh-CN"/>
        </w:rPr>
        <w:t>文化旅游体育与传媒支出（类）13.27万元，占1.72%。</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sz w:val="32"/>
          <w:szCs w:val="32"/>
          <w:lang w:eastAsia="zh-CN"/>
        </w:rPr>
      </w:pPr>
      <w:r>
        <w:rPr>
          <w:rFonts w:ascii="仿宋_GB2312" w:eastAsia="仿宋_GB2312"/>
          <w:sz w:val="32"/>
          <w:szCs w:val="32"/>
          <w:lang w:eastAsia="zh-CN"/>
        </w:rPr>
        <w:t>社会保障和就业支出（类）10.00万元，占1.30%。</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sz w:val="32"/>
          <w:szCs w:val="32"/>
          <w:lang w:eastAsia="zh-CN"/>
        </w:rPr>
      </w:pPr>
      <w:r>
        <w:rPr>
          <w:rFonts w:ascii="仿宋_GB2312" w:eastAsia="仿宋_GB2312"/>
          <w:sz w:val="32"/>
          <w:szCs w:val="32"/>
          <w:lang w:eastAsia="zh-CN"/>
        </w:rPr>
        <w:t>卫生健康支出（类）125.40万元，占16.30%。</w:t>
      </w:r>
    </w:p>
    <w:p>
      <w:pPr>
        <w:keepNext w:val="0"/>
        <w:keepLines w:val="0"/>
        <w:pageBreakBefore w:val="0"/>
        <w:widowControl/>
        <w:kinsoku/>
        <w:wordWrap/>
        <w:overflowPunct/>
        <w:topLinePunct w:val="0"/>
        <w:autoSpaceDE/>
        <w:autoSpaceDN/>
        <w:bidi w:val="0"/>
        <w:adjustRightInd/>
        <w:snapToGrid/>
        <w:spacing w:line="560" w:lineRule="exact"/>
        <w:ind w:firstLine="643" w:firstLineChars="200"/>
        <w:textAlignment w:val="auto"/>
        <w:outlineLvl w:val="2"/>
        <w:rPr>
          <w:rFonts w:ascii="黑体" w:eastAsia="黑体"/>
          <w:sz w:val="32"/>
          <w:szCs w:val="32"/>
          <w:lang w:eastAsia="zh-CN"/>
        </w:rPr>
      </w:pPr>
      <w:r>
        <w:rPr>
          <w:rFonts w:ascii="黑体" w:eastAsia="黑体"/>
          <w:b/>
          <w:sz w:val="32"/>
          <w:szCs w:val="32"/>
          <w:lang w:eastAsia="zh-CN"/>
        </w:rPr>
        <w:t>（三）一般公共预算财政拨款支出决算具体情况</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lang w:eastAsia="zh-CN"/>
        </w:rPr>
      </w:pPr>
      <w:r>
        <w:rPr>
          <w:rFonts w:ascii="仿宋_GB2312" w:eastAsia="仿宋_GB2312"/>
          <w:sz w:val="32"/>
          <w:szCs w:val="32"/>
          <w:lang w:eastAsia="zh-CN"/>
        </w:rPr>
        <w:t>1、科学技术支出（类）应用研究（款）机构运行（项）：支出决算数为592.11万元，比上年决算增加0.49万元，增长0.08%，主要原因是：</w:t>
      </w:r>
      <w:r>
        <w:rPr>
          <w:rFonts w:hint="eastAsia" w:ascii="仿宋_GB2312" w:eastAsia="仿宋_GB2312"/>
          <w:sz w:val="32"/>
          <w:szCs w:val="32"/>
          <w:lang w:eastAsia="zh-CN"/>
        </w:rPr>
        <w:t>单位人员增加</w:t>
      </w:r>
      <w:r>
        <w:rPr>
          <w:rFonts w:ascii="仿宋_GB2312" w:eastAsia="仿宋_GB2312"/>
          <w:sz w:val="32"/>
          <w:szCs w:val="32"/>
          <w:lang w:eastAsia="zh-CN"/>
        </w:rPr>
        <w:t>，职称变动等</w:t>
      </w:r>
      <w:r>
        <w:rPr>
          <w:rFonts w:hint="eastAsia" w:ascii="仿宋_GB2312" w:eastAsia="仿宋_GB2312"/>
          <w:sz w:val="32"/>
          <w:szCs w:val="32"/>
          <w:lang w:eastAsia="zh-CN"/>
        </w:rPr>
        <w:t>因素导致</w:t>
      </w:r>
      <w:r>
        <w:rPr>
          <w:rFonts w:ascii="仿宋_GB2312" w:eastAsia="仿宋_GB2312"/>
          <w:sz w:val="32"/>
          <w:szCs w:val="32"/>
          <w:lang w:eastAsia="zh-CN"/>
        </w:rPr>
        <w:t>人员经费增加。</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lang w:eastAsia="zh-CN"/>
        </w:rPr>
      </w:pPr>
      <w:r>
        <w:rPr>
          <w:rFonts w:ascii="仿宋_GB2312" w:eastAsia="仿宋_GB2312"/>
          <w:sz w:val="32"/>
          <w:szCs w:val="32"/>
          <w:lang w:eastAsia="zh-CN"/>
        </w:rPr>
        <w:t>2、科学技术支出（类）应用研究（款）社会公益研究（项）：支出决算数为28.50万元，与上年相比无变化，主要原因是：与上年保持一致。</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lang w:eastAsia="zh-CN"/>
        </w:rPr>
      </w:pPr>
      <w:r>
        <w:rPr>
          <w:rFonts w:ascii="仿宋_GB2312" w:eastAsia="仿宋_GB2312"/>
          <w:sz w:val="32"/>
          <w:szCs w:val="32"/>
          <w:lang w:eastAsia="zh-CN"/>
        </w:rPr>
        <w:t>3、文化旅游体育与传媒支出（类）文化和旅游（款）文化创作与保护（项）：支出决算数为13.27万元，比上年决算增加13.27万元，增长100.00%，主要原因是：当年增加</w:t>
      </w:r>
      <w:r>
        <w:rPr>
          <w:rFonts w:hint="eastAsia" w:ascii="仿宋_GB2312" w:eastAsia="仿宋_GB2312"/>
          <w:sz w:val="32"/>
          <w:szCs w:val="32"/>
          <w:lang w:eastAsia="zh-CN"/>
        </w:rPr>
        <w:t>国家级非遗代表性项目补助费</w:t>
      </w:r>
      <w:r>
        <w:rPr>
          <w:rFonts w:ascii="仿宋_GB2312" w:eastAsia="仿宋_GB2312"/>
          <w:sz w:val="32"/>
          <w:szCs w:val="32"/>
          <w:lang w:eastAsia="zh-CN"/>
        </w:rPr>
        <w:t>项目</w:t>
      </w:r>
      <w:r>
        <w:rPr>
          <w:rFonts w:hint="eastAsia" w:ascii="仿宋_GB2312" w:eastAsia="仿宋_GB2312"/>
          <w:sz w:val="32"/>
          <w:szCs w:val="32"/>
          <w:lang w:eastAsia="zh-CN"/>
        </w:rPr>
        <w:t>支出</w:t>
      </w:r>
      <w:r>
        <w:rPr>
          <w:rFonts w:ascii="仿宋_GB2312" w:eastAsia="仿宋_GB2312"/>
          <w:sz w:val="32"/>
          <w:szCs w:val="32"/>
          <w:lang w:eastAsia="zh-CN"/>
        </w:rPr>
        <w:t>。</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lang w:eastAsia="zh-CN"/>
        </w:rPr>
      </w:pPr>
      <w:r>
        <w:rPr>
          <w:rFonts w:ascii="仿宋_GB2312" w:eastAsia="仿宋_GB2312"/>
          <w:sz w:val="32"/>
          <w:szCs w:val="32"/>
          <w:lang w:eastAsia="zh-CN"/>
        </w:rPr>
        <w:t>4、社会保障和就业支出（类）人力资源和社会保障管理事务（款）其他人力资源和社会保障管理事务支出（项）：支出决算数为10.00万元，比上年决算增加10.00万元，增长100.00%，主要原因是：当年增加</w:t>
      </w:r>
      <w:r>
        <w:rPr>
          <w:rFonts w:hint="eastAsia" w:ascii="仿宋_GB2312" w:eastAsia="仿宋_GB2312"/>
          <w:sz w:val="32"/>
          <w:szCs w:val="32"/>
          <w:lang w:eastAsia="zh-CN"/>
        </w:rPr>
        <w:t>天池英才引进计划</w:t>
      </w:r>
      <w:r>
        <w:rPr>
          <w:rFonts w:ascii="仿宋_GB2312" w:eastAsia="仿宋_GB2312"/>
          <w:sz w:val="32"/>
          <w:szCs w:val="32"/>
          <w:lang w:eastAsia="zh-CN"/>
        </w:rPr>
        <w:t>项目</w:t>
      </w:r>
      <w:r>
        <w:rPr>
          <w:rFonts w:hint="eastAsia" w:ascii="仿宋_GB2312" w:eastAsia="仿宋_GB2312"/>
          <w:sz w:val="32"/>
          <w:szCs w:val="32"/>
          <w:lang w:eastAsia="zh-CN"/>
        </w:rPr>
        <w:t>支出</w:t>
      </w:r>
      <w:r>
        <w:rPr>
          <w:rFonts w:ascii="仿宋_GB2312" w:eastAsia="仿宋_GB2312"/>
          <w:sz w:val="32"/>
          <w:szCs w:val="32"/>
          <w:lang w:eastAsia="zh-CN"/>
        </w:rPr>
        <w:t>。</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lang w:eastAsia="zh-CN"/>
        </w:rPr>
      </w:pPr>
      <w:r>
        <w:rPr>
          <w:rFonts w:ascii="仿宋_GB2312" w:eastAsia="仿宋_GB2312"/>
          <w:sz w:val="32"/>
          <w:szCs w:val="32"/>
          <w:lang w:eastAsia="zh-CN"/>
        </w:rPr>
        <w:t>5、卫生健康支出（类）中医药（款）中医（民族医）药专项（项）：支出决算数为0.00万元，比上年决算减少124.60万元，下降100.00%，主要原因是：</w:t>
      </w:r>
      <w:r>
        <w:rPr>
          <w:rFonts w:hint="default" w:ascii="仿宋_GB2312" w:eastAsia="仿宋_GB2312"/>
          <w:sz w:val="32"/>
          <w:szCs w:val="32"/>
          <w:lang w:val="en-US" w:eastAsia="zh-CN"/>
        </w:rPr>
        <w:t>2024</w:t>
      </w:r>
      <w:r>
        <w:rPr>
          <w:rFonts w:ascii="仿宋_GB2312" w:eastAsia="仿宋_GB2312"/>
          <w:sz w:val="32"/>
          <w:szCs w:val="32"/>
          <w:lang w:eastAsia="zh-CN"/>
        </w:rPr>
        <w:t>年卫生健康支出中医药（款）变更为中医药事务（款）。</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lang w:eastAsia="zh-CN"/>
        </w:rPr>
      </w:pPr>
      <w:r>
        <w:rPr>
          <w:rFonts w:ascii="仿宋_GB2312" w:eastAsia="仿宋_GB2312"/>
          <w:sz w:val="32"/>
          <w:szCs w:val="32"/>
          <w:lang w:eastAsia="zh-CN"/>
        </w:rPr>
        <w:t>6、卫生健康支出（类）中医药事务（款）中医（民族医）药专项（项）：支出决算数为125.40万元，比上年决算增加125.40万元，增长100.00%，主要原因是：</w:t>
      </w:r>
      <w:r>
        <w:rPr>
          <w:rFonts w:hint="default" w:ascii="仿宋_GB2312" w:eastAsia="仿宋_GB2312"/>
          <w:sz w:val="32"/>
          <w:szCs w:val="32"/>
          <w:lang w:val="en-US" w:eastAsia="zh-CN"/>
        </w:rPr>
        <w:t>2024</w:t>
      </w:r>
      <w:r>
        <w:rPr>
          <w:rFonts w:ascii="仿宋_GB2312" w:eastAsia="仿宋_GB2312"/>
          <w:sz w:val="32"/>
          <w:szCs w:val="32"/>
          <w:lang w:eastAsia="zh-CN"/>
        </w:rPr>
        <w:t>年当年卫生健康支出中医药（款）变更为中医药事务（款）。</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sz w:val="32"/>
          <w:szCs w:val="32"/>
          <w:lang w:eastAsia="zh-CN"/>
        </w:rPr>
      </w:pPr>
      <w:r>
        <w:rPr>
          <w:rFonts w:ascii="仿宋_GB2312" w:eastAsia="仿宋_GB2312"/>
          <w:sz w:val="32"/>
          <w:szCs w:val="32"/>
          <w:lang w:eastAsia="zh-CN"/>
        </w:rPr>
        <w:t>2024年度一般公共预算财政拨款基本支出592.11万元，其中：人员经费555.76万元，包括：基本工资、津贴补贴、奖金、绩效工资、机关事业单位基本养老保险缴费、职业年金缴费、职工基本医疗保险缴费、公务员医疗补助缴费、其他社会保障缴费、住房公积金、其他工资福利支出、退休费和其他对个人和家庭的补助。</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sz w:val="32"/>
          <w:szCs w:val="32"/>
          <w:lang w:eastAsia="zh-CN"/>
        </w:rPr>
      </w:pPr>
      <w:r>
        <w:rPr>
          <w:rFonts w:ascii="仿宋_GB2312" w:eastAsia="仿宋_GB2312"/>
          <w:sz w:val="32"/>
          <w:szCs w:val="32"/>
          <w:lang w:eastAsia="zh-CN"/>
        </w:rPr>
        <w:t>公用经费36.36万元，包括：办公费、印刷费、手续费、邮电费、取暖费、物业管理费、差旅费、维修（护）费、租赁费、劳务费、福利费、公务用车运行维护费、其他交通费用、其他商品和服务支出和办公设备购置。</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outlineLvl w:val="1"/>
        <w:rPr>
          <w:rFonts w:ascii="黑体" w:eastAsia="黑体"/>
          <w:sz w:val="32"/>
          <w:szCs w:val="32"/>
          <w:lang w:eastAsia="zh-CN"/>
        </w:rPr>
      </w:pPr>
      <w:r>
        <w:rPr>
          <w:rFonts w:ascii="黑体" w:eastAsia="黑体"/>
          <w:sz w:val="32"/>
          <w:szCs w:val="32"/>
          <w:lang w:eastAsia="zh-CN"/>
        </w:rPr>
        <w:t>九、财政拨款“三公”经费支出决算情况说明</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sz w:val="32"/>
          <w:szCs w:val="32"/>
          <w:lang w:eastAsia="zh-CN"/>
        </w:rPr>
      </w:pPr>
      <w:r>
        <w:rPr>
          <w:rFonts w:ascii="仿宋_GB2312" w:eastAsia="仿宋_GB2312"/>
          <w:sz w:val="32"/>
          <w:szCs w:val="32"/>
          <w:lang w:eastAsia="zh-CN"/>
        </w:rPr>
        <w:t>2024年度财政拨款“三公”经费支出1.35万元，比上年增加0.03万元，增长2.27%，主要原因是：用于车辆维修保养、燃油等支出增大。其中：因公出国（境）费支出0.00万元,占0.00%，与上年相比无变化，主要原因是：</w:t>
      </w:r>
      <w:r>
        <w:rPr>
          <w:rFonts w:hint="eastAsia" w:ascii="仿宋_GB2312" w:eastAsia="仿宋_GB2312"/>
          <w:sz w:val="32"/>
          <w:szCs w:val="32"/>
          <w:lang w:eastAsia="zh-CN"/>
        </w:rPr>
        <w:t>我单位2023年度与2024年度均未安排因公出国（境）费</w:t>
      </w:r>
      <w:r>
        <w:rPr>
          <w:rFonts w:ascii="仿宋_GB2312" w:eastAsia="仿宋_GB2312"/>
          <w:sz w:val="32"/>
          <w:szCs w:val="32"/>
          <w:lang w:eastAsia="zh-CN"/>
        </w:rPr>
        <w:t>；公务用车购置及运行维护费支出1.35万元，占100.00%，比上年增加0.03万元，增长2.27%，主要原因是：用于车辆维修保养、燃油等支出增大；公务接待费支出0.00万元，占0.00%，与上年相比无变化，主要原因是：</w:t>
      </w:r>
      <w:r>
        <w:rPr>
          <w:rFonts w:hint="eastAsia" w:ascii="仿宋_GB2312" w:eastAsia="仿宋_GB2312"/>
          <w:sz w:val="32"/>
          <w:szCs w:val="32"/>
          <w:lang w:eastAsia="zh-CN"/>
        </w:rPr>
        <w:t>我单位2023年度与2024年度均未安排公务接待费</w:t>
      </w:r>
      <w:r>
        <w:rPr>
          <w:rFonts w:ascii="仿宋_GB2312" w:eastAsia="仿宋_GB2312"/>
          <w:sz w:val="32"/>
          <w:szCs w:val="32"/>
          <w:lang w:eastAsia="zh-CN"/>
        </w:rPr>
        <w:t>。</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lang w:eastAsia="zh-CN"/>
        </w:rPr>
      </w:pPr>
      <w:r>
        <w:rPr>
          <w:rFonts w:ascii="仿宋_GB2312" w:eastAsia="仿宋_GB2312"/>
          <w:sz w:val="32"/>
          <w:szCs w:val="32"/>
          <w:lang w:eastAsia="zh-CN"/>
        </w:rPr>
        <w:t>具体情况如下：</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sz w:val="32"/>
          <w:szCs w:val="32"/>
          <w:lang w:eastAsia="zh-CN"/>
        </w:rPr>
      </w:pPr>
      <w:r>
        <w:rPr>
          <w:rFonts w:ascii="仿宋_GB2312" w:eastAsia="仿宋_GB2312"/>
          <w:sz w:val="32"/>
          <w:szCs w:val="32"/>
          <w:lang w:eastAsia="zh-CN"/>
        </w:rPr>
        <w:t>因公出国（境）费支出0.00万元，开支内容包括</w:t>
      </w:r>
      <w:r>
        <w:rPr>
          <w:rFonts w:hint="eastAsia" w:ascii="仿宋_GB2312" w:eastAsia="仿宋_GB2312"/>
          <w:sz w:val="32"/>
          <w:szCs w:val="32"/>
          <w:lang w:eastAsia="zh-CN"/>
        </w:rPr>
        <w:t>我单位</w:t>
      </w:r>
      <w:r>
        <w:rPr>
          <w:rFonts w:ascii="仿宋_GB2312" w:eastAsia="仿宋_GB2312"/>
          <w:sz w:val="32"/>
          <w:szCs w:val="32"/>
          <w:lang w:eastAsia="zh-CN"/>
        </w:rPr>
        <w:t>无因公出国（境）费。单位全年安排的因公出国（境）团组0个，因公出国（境）0人次。</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sz w:val="32"/>
          <w:szCs w:val="32"/>
          <w:lang w:eastAsia="zh-CN"/>
        </w:rPr>
      </w:pPr>
      <w:r>
        <w:rPr>
          <w:rFonts w:ascii="仿宋_GB2312" w:eastAsia="仿宋_GB2312"/>
          <w:sz w:val="32"/>
          <w:szCs w:val="32"/>
          <w:lang w:eastAsia="zh-CN"/>
        </w:rPr>
        <w:t>公务用车购置及运行维护费1.35万元，其中：公务用车购置费0.00万元，公务用车运行维护费1.35万元。公务用车运行维护费开支内容包括用于车辆维修保养、燃油。公务用车购置数0辆，公务用车保有量1辆。国有资产占用情况中固定资产车辆4辆，与公务用车保有量差异原因是：其他车辆</w:t>
      </w:r>
      <w:r>
        <w:rPr>
          <w:rFonts w:hint="eastAsia" w:ascii="仿宋_GB2312" w:eastAsia="仿宋_GB2312"/>
          <w:sz w:val="32"/>
          <w:szCs w:val="32"/>
          <w:lang w:eastAsia="zh-CN"/>
        </w:rPr>
        <w:t>费用由单位自有资金承担</w:t>
      </w:r>
      <w:r>
        <w:rPr>
          <w:rFonts w:ascii="仿宋_GB2312" w:eastAsia="仿宋_GB2312"/>
          <w:sz w:val="32"/>
          <w:szCs w:val="32"/>
          <w:lang w:eastAsia="zh-CN"/>
        </w:rPr>
        <w:t>。</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sz w:val="32"/>
          <w:szCs w:val="32"/>
          <w:lang w:eastAsia="zh-CN"/>
        </w:rPr>
      </w:pPr>
      <w:r>
        <w:rPr>
          <w:rFonts w:ascii="仿宋_GB2312" w:eastAsia="仿宋_GB2312"/>
          <w:sz w:val="32"/>
          <w:szCs w:val="32"/>
          <w:lang w:eastAsia="zh-CN"/>
        </w:rPr>
        <w:t>公务接待费0.00万元，开支内容包括</w:t>
      </w:r>
      <w:r>
        <w:rPr>
          <w:rFonts w:hint="eastAsia" w:ascii="仿宋_GB2312" w:eastAsia="仿宋_GB2312"/>
          <w:sz w:val="32"/>
          <w:szCs w:val="32"/>
          <w:lang w:eastAsia="zh-CN"/>
        </w:rPr>
        <w:t>我单位</w:t>
      </w:r>
      <w:r>
        <w:rPr>
          <w:rFonts w:ascii="仿宋_GB2312" w:eastAsia="仿宋_GB2312"/>
          <w:sz w:val="32"/>
          <w:szCs w:val="32"/>
          <w:lang w:eastAsia="zh-CN"/>
        </w:rPr>
        <w:t>无公务接待费。单位全年安排的国内公务接待0批次，0人次。</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sz w:val="32"/>
          <w:szCs w:val="32"/>
          <w:lang w:eastAsia="zh-CN"/>
        </w:rPr>
      </w:pPr>
      <w:r>
        <w:rPr>
          <w:rFonts w:ascii="仿宋_GB2312" w:eastAsia="仿宋_GB2312"/>
          <w:sz w:val="32"/>
          <w:szCs w:val="32"/>
          <w:lang w:eastAsia="zh-CN"/>
        </w:rPr>
        <w:t>与全年预算相比，财政拨款“三公”经费支出全年预算数1.35万元，决算数1.35万元，预决算差异率0.00%，主要原因是：我单位严格控制“三公”经费支出。其中：因公出国（境）费全年预算数0.00万元，决算数0.00万元，预决算差异率0.00%，主要原因是：我单位无因公出国（境）费；公务用车购置费全年预算数0.00万元，决算数0.00万元，预决算差异率0.00%，主要原因是：我单位无公务用车购置费；公务用车运行维护费全年预算数1.35万元，决算数1.35万元，预决算差异率0.00%，主要原因是：我单位严格控制“三公”经费支出；公务接待费全年预算数0.00万元，决算数0.00万元，预决算差异率0.00%，主要原因是：我单位无公务接待费。</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outlineLvl w:val="1"/>
        <w:rPr>
          <w:rFonts w:ascii="黑体" w:eastAsia="黑体"/>
          <w:sz w:val="32"/>
          <w:szCs w:val="32"/>
          <w:lang w:eastAsia="zh-CN"/>
        </w:rPr>
      </w:pPr>
      <w:r>
        <w:rPr>
          <w:rFonts w:ascii="黑体" w:eastAsia="黑体"/>
          <w:sz w:val="32"/>
          <w:szCs w:val="32"/>
          <w:lang w:eastAsia="zh-CN"/>
        </w:rPr>
        <w:t>十、其他重要事项的情况说明</w:t>
      </w:r>
    </w:p>
    <w:p>
      <w:pPr>
        <w:keepNext w:val="0"/>
        <w:keepLines w:val="0"/>
        <w:pageBreakBefore w:val="0"/>
        <w:widowControl/>
        <w:kinsoku/>
        <w:wordWrap/>
        <w:overflowPunct/>
        <w:topLinePunct w:val="0"/>
        <w:autoSpaceDE/>
        <w:autoSpaceDN/>
        <w:bidi w:val="0"/>
        <w:adjustRightInd/>
        <w:snapToGrid/>
        <w:spacing w:line="560" w:lineRule="exact"/>
        <w:ind w:firstLine="643" w:firstLineChars="200"/>
        <w:textAlignment w:val="auto"/>
        <w:outlineLvl w:val="2"/>
        <w:rPr>
          <w:rFonts w:ascii="黑体" w:eastAsia="黑体"/>
          <w:sz w:val="32"/>
          <w:szCs w:val="32"/>
          <w:lang w:eastAsia="zh-CN"/>
        </w:rPr>
      </w:pPr>
      <w:r>
        <w:rPr>
          <w:rFonts w:ascii="黑体" w:eastAsia="黑体"/>
          <w:b/>
          <w:sz w:val="32"/>
          <w:szCs w:val="32"/>
          <w:lang w:eastAsia="zh-CN"/>
        </w:rPr>
        <w:t>（一）机关运行经费及公用经费支出情况</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sz w:val="32"/>
          <w:szCs w:val="32"/>
          <w:lang w:eastAsia="zh-CN"/>
        </w:rPr>
      </w:pPr>
      <w:r>
        <w:rPr>
          <w:rFonts w:ascii="仿宋_GB2312" w:eastAsia="仿宋_GB2312"/>
          <w:sz w:val="32"/>
          <w:szCs w:val="32"/>
          <w:lang w:eastAsia="zh-CN"/>
        </w:rPr>
        <w:t>2024年度新疆维吾尔自治区维吾尔医药研究所单位（事业单位）公用经费支出36.36万元，比上年减少0.30万元，下降0.82%，主要原因是：</w:t>
      </w:r>
      <w:r>
        <w:rPr>
          <w:rFonts w:hint="eastAsia" w:ascii="仿宋_GB2312" w:eastAsia="仿宋_GB2312"/>
          <w:sz w:val="32"/>
          <w:szCs w:val="32"/>
          <w:lang w:eastAsia="zh-CN"/>
        </w:rPr>
        <w:t>单位人员变动</w:t>
      </w:r>
      <w:r>
        <w:rPr>
          <w:rFonts w:ascii="仿宋_GB2312" w:eastAsia="仿宋_GB2312"/>
          <w:sz w:val="32"/>
          <w:szCs w:val="32"/>
          <w:lang w:eastAsia="zh-CN"/>
        </w:rPr>
        <w:t>，导致相应公用经费减少。</w:t>
      </w:r>
    </w:p>
    <w:p>
      <w:pPr>
        <w:keepNext w:val="0"/>
        <w:keepLines w:val="0"/>
        <w:pageBreakBefore w:val="0"/>
        <w:widowControl/>
        <w:kinsoku/>
        <w:wordWrap/>
        <w:overflowPunct/>
        <w:topLinePunct w:val="0"/>
        <w:autoSpaceDE/>
        <w:autoSpaceDN/>
        <w:bidi w:val="0"/>
        <w:adjustRightInd/>
        <w:snapToGrid/>
        <w:spacing w:line="560" w:lineRule="exact"/>
        <w:ind w:firstLine="643" w:firstLineChars="200"/>
        <w:textAlignment w:val="auto"/>
        <w:outlineLvl w:val="2"/>
        <w:rPr>
          <w:rFonts w:ascii="黑体" w:eastAsia="黑体"/>
          <w:sz w:val="32"/>
          <w:szCs w:val="32"/>
          <w:lang w:eastAsia="zh-CN"/>
        </w:rPr>
      </w:pPr>
      <w:r>
        <w:rPr>
          <w:rFonts w:ascii="黑体" w:eastAsia="黑体"/>
          <w:b/>
          <w:sz w:val="32"/>
          <w:szCs w:val="32"/>
          <w:lang w:eastAsia="zh-CN"/>
        </w:rPr>
        <w:t>（二）政府采购情况</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sz w:val="32"/>
          <w:szCs w:val="32"/>
          <w:lang w:eastAsia="zh-CN"/>
        </w:rPr>
      </w:pPr>
      <w:r>
        <w:rPr>
          <w:rFonts w:ascii="仿宋_GB2312" w:eastAsia="仿宋_GB2312"/>
          <w:sz w:val="32"/>
          <w:szCs w:val="32"/>
          <w:lang w:eastAsia="zh-CN"/>
        </w:rPr>
        <w:t>2024年度政府采购支出总额0.95万元，其中：政府采购货物支出0.50万元、政府采购工程支出0.00万元、政府采购服务支出0.45万元。</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sz w:val="32"/>
          <w:szCs w:val="32"/>
          <w:lang w:eastAsia="zh-CN"/>
        </w:rPr>
      </w:pPr>
      <w:r>
        <w:rPr>
          <w:rFonts w:ascii="仿宋_GB2312" w:eastAsia="仿宋_GB2312"/>
          <w:sz w:val="32"/>
          <w:szCs w:val="32"/>
          <w:lang w:eastAsia="zh-CN"/>
        </w:rPr>
        <w:t>授予中小企业合同金额0.95万元，占政府采购支出总额的100.00%，其中：授予小微企业合同金额0.95万元，占政府采购支出总额的100.00%。</w:t>
      </w:r>
    </w:p>
    <w:p>
      <w:pPr>
        <w:keepNext w:val="0"/>
        <w:keepLines w:val="0"/>
        <w:pageBreakBefore w:val="0"/>
        <w:widowControl/>
        <w:kinsoku/>
        <w:wordWrap/>
        <w:overflowPunct/>
        <w:topLinePunct w:val="0"/>
        <w:autoSpaceDE/>
        <w:autoSpaceDN/>
        <w:bidi w:val="0"/>
        <w:adjustRightInd/>
        <w:snapToGrid/>
        <w:spacing w:line="560" w:lineRule="exact"/>
        <w:ind w:firstLine="643" w:firstLineChars="200"/>
        <w:textAlignment w:val="auto"/>
        <w:outlineLvl w:val="2"/>
        <w:rPr>
          <w:rFonts w:ascii="黑体" w:eastAsia="黑体"/>
          <w:sz w:val="32"/>
          <w:szCs w:val="32"/>
          <w:lang w:eastAsia="zh-CN"/>
        </w:rPr>
      </w:pPr>
      <w:r>
        <w:rPr>
          <w:rFonts w:ascii="黑体" w:eastAsia="黑体"/>
          <w:b/>
          <w:sz w:val="32"/>
          <w:szCs w:val="32"/>
          <w:lang w:eastAsia="zh-CN"/>
        </w:rPr>
        <w:t>（三）国有资产占用情况说明</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sz w:val="32"/>
          <w:szCs w:val="32"/>
          <w:lang w:eastAsia="zh-CN"/>
        </w:rPr>
      </w:pPr>
      <w:r>
        <w:rPr>
          <w:rFonts w:ascii="仿宋_GB2312" w:eastAsia="仿宋_GB2312"/>
          <w:sz w:val="32"/>
          <w:szCs w:val="32"/>
        </w:rPr>
        <w:t>截至2024年12月31日，房屋0.00平方米，价值0.00万元。</w:t>
      </w:r>
      <w:r>
        <w:rPr>
          <w:rFonts w:ascii="仿宋_GB2312" w:eastAsia="仿宋_GB2312"/>
          <w:sz w:val="32"/>
          <w:szCs w:val="32"/>
          <w:lang w:eastAsia="zh-CN"/>
        </w:rPr>
        <w:t>车辆4辆，价值56.92万元，其中：副部（省）级及以上领导用车0辆、主要负责人用车2辆、机要通信用车0辆、应急保障用车0辆、执法执勤用车0辆、特种专业技术用车0辆、离退休干部服务用车0辆、其他用车2辆，其他用车主要是：科研实验拉动物用车;单价100万元（含）以上设备（不含车辆）1台。</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outlineLvl w:val="1"/>
        <w:rPr>
          <w:rFonts w:ascii="黑体" w:eastAsia="黑体"/>
          <w:sz w:val="32"/>
          <w:szCs w:val="32"/>
          <w:lang w:eastAsia="zh-CN"/>
        </w:rPr>
      </w:pPr>
      <w:r>
        <w:rPr>
          <w:rFonts w:ascii="黑体" w:eastAsia="黑体"/>
          <w:sz w:val="32"/>
          <w:szCs w:val="32"/>
          <w:lang w:eastAsia="zh-CN"/>
        </w:rPr>
        <w:t>十一、预算绩效的情况说明</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评价项目2个，全年预算数558.50万元，全年执行数558.50万元，预算绩效管理取得的成效：一是项目按时完成；二是提高对预算绩效管理工作重要性的认识，总结经验查找问题，抓紧研究制定更全面更完善的绩效评价管理办法；发现的问题及原因：一是预算执行方面存在偏差；二是部分预算科目设置不够细致；下一步改进措施：一是提高绩效管理水平，科学合理设定绩效目标；二是充分发挥预算绩效管理作用，增强绩效管理观念和责任意识。具体附项目支出绩效自评表。</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outlineLvl w:val="1"/>
        <w:rPr>
          <w:rFonts w:ascii="黑体" w:eastAsia="黑体"/>
          <w:sz w:val="32"/>
          <w:szCs w:val="32"/>
          <w:lang w:eastAsia="zh-CN"/>
        </w:rPr>
      </w:pPr>
      <w:r>
        <w:rPr>
          <w:rFonts w:ascii="黑体" w:eastAsia="黑体"/>
          <w:sz w:val="32"/>
          <w:szCs w:val="32"/>
          <w:lang w:eastAsia="zh-CN"/>
        </w:rPr>
        <w:t>十二、其他需说明的事项</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sz w:val="32"/>
          <w:szCs w:val="32"/>
          <w:lang w:eastAsia="zh-CN"/>
        </w:rPr>
      </w:pPr>
      <w:r>
        <w:rPr>
          <w:rFonts w:ascii="仿宋_GB2312" w:eastAsia="仿宋_GB2312"/>
          <w:sz w:val="32"/>
          <w:szCs w:val="32"/>
          <w:lang w:eastAsia="zh-CN"/>
        </w:rPr>
        <w:t>本单位无其他需说明事项。</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lang w:eastAsia="zh-CN"/>
        </w:rPr>
      </w:pPr>
    </w:p>
    <w:p>
      <w:pPr>
        <w:keepNext w:val="0"/>
        <w:keepLines w:val="0"/>
        <w:pageBreakBefore w:val="0"/>
        <w:widowControl/>
        <w:kinsoku/>
        <w:wordWrap/>
        <w:overflowPunct/>
        <w:topLinePunct w:val="0"/>
        <w:autoSpaceDE/>
        <w:autoSpaceDN/>
        <w:bidi w:val="0"/>
        <w:adjustRightInd/>
        <w:snapToGrid/>
        <w:spacing w:line="560" w:lineRule="exact"/>
        <w:textAlignment w:val="auto"/>
        <w:rPr>
          <w:lang w:eastAsia="zh-CN"/>
        </w:rPr>
      </w:pPr>
      <w:r>
        <w:rPr>
          <w:sz w:val="0"/>
          <w:szCs w:val="0"/>
          <w:lang w:eastAsia="zh-CN"/>
        </w:rPr>
        <w:br w:type="page"/>
      </w:r>
    </w:p>
    <w:p>
      <w:pPr>
        <w:keepNext w:val="0"/>
        <w:keepLines w:val="0"/>
        <w:pageBreakBefore w:val="0"/>
        <w:widowControl/>
        <w:kinsoku/>
        <w:wordWrap/>
        <w:overflowPunct/>
        <w:topLinePunct w:val="0"/>
        <w:autoSpaceDE/>
        <w:autoSpaceDN/>
        <w:bidi w:val="0"/>
        <w:adjustRightInd/>
        <w:snapToGrid/>
        <w:spacing w:line="560" w:lineRule="exact"/>
        <w:jc w:val="center"/>
        <w:textAlignment w:val="auto"/>
        <w:outlineLvl w:val="0"/>
        <w:rPr>
          <w:rFonts w:ascii="黑体" w:eastAsia="黑体"/>
          <w:sz w:val="32"/>
          <w:szCs w:val="32"/>
          <w:lang w:eastAsia="zh-CN"/>
        </w:rPr>
      </w:pPr>
      <w:r>
        <w:rPr>
          <w:rFonts w:ascii="黑体" w:eastAsia="黑体"/>
          <w:sz w:val="32"/>
          <w:szCs w:val="32"/>
          <w:lang w:eastAsia="zh-CN"/>
        </w:rPr>
        <w:t>第三部分</w:t>
      </w:r>
      <w:r>
        <w:rPr>
          <w:rFonts w:hint="default" w:ascii="黑体" w:eastAsia="黑体"/>
          <w:sz w:val="32"/>
          <w:szCs w:val="32"/>
          <w:lang w:val="en-US" w:eastAsia="zh-CN"/>
        </w:rPr>
        <w:t xml:space="preserve"> </w:t>
      </w:r>
      <w:r>
        <w:rPr>
          <w:rFonts w:ascii="黑体" w:eastAsia="黑体"/>
          <w:sz w:val="32"/>
          <w:szCs w:val="32"/>
          <w:lang w:eastAsia="zh-CN"/>
        </w:rPr>
        <w:t>专业名词解释</w:t>
      </w:r>
    </w:p>
    <w:p>
      <w:pPr>
        <w:keepNext w:val="0"/>
        <w:keepLines w:val="0"/>
        <w:pageBreakBefore w:val="0"/>
        <w:widowControl/>
        <w:kinsoku/>
        <w:wordWrap/>
        <w:overflowPunct/>
        <w:topLinePunct w:val="0"/>
        <w:autoSpaceDE/>
        <w:autoSpaceDN/>
        <w:bidi w:val="0"/>
        <w:adjustRightInd/>
        <w:snapToGrid/>
        <w:spacing w:line="560" w:lineRule="exact"/>
        <w:ind w:firstLine="643" w:firstLineChars="200"/>
        <w:textAlignment w:val="auto"/>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pPr>
        <w:keepNext w:val="0"/>
        <w:keepLines w:val="0"/>
        <w:pageBreakBefore w:val="0"/>
        <w:widowControl/>
        <w:kinsoku/>
        <w:wordWrap/>
        <w:overflowPunct/>
        <w:topLinePunct w:val="0"/>
        <w:autoSpaceDE/>
        <w:autoSpaceDN/>
        <w:bidi w:val="0"/>
        <w:adjustRightInd/>
        <w:snapToGrid/>
        <w:spacing w:line="560" w:lineRule="exact"/>
        <w:ind w:firstLine="643" w:firstLineChars="200"/>
        <w:textAlignment w:val="auto"/>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pPr>
        <w:keepNext w:val="0"/>
        <w:keepLines w:val="0"/>
        <w:pageBreakBefore w:val="0"/>
        <w:widowControl/>
        <w:kinsoku/>
        <w:wordWrap/>
        <w:overflowPunct/>
        <w:topLinePunct w:val="0"/>
        <w:autoSpaceDE/>
        <w:autoSpaceDN/>
        <w:bidi w:val="0"/>
        <w:adjustRightInd/>
        <w:snapToGrid/>
        <w:spacing w:line="560" w:lineRule="exact"/>
        <w:ind w:firstLine="643" w:firstLineChars="200"/>
        <w:textAlignment w:val="auto"/>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pPr>
        <w:keepNext w:val="0"/>
        <w:keepLines w:val="0"/>
        <w:pageBreakBefore w:val="0"/>
        <w:widowControl/>
        <w:kinsoku/>
        <w:wordWrap/>
        <w:overflowPunct/>
        <w:topLinePunct w:val="0"/>
        <w:autoSpaceDE/>
        <w:autoSpaceDN/>
        <w:bidi w:val="0"/>
        <w:adjustRightInd/>
        <w:snapToGrid/>
        <w:spacing w:line="560" w:lineRule="exact"/>
        <w:ind w:firstLine="643" w:firstLineChars="200"/>
        <w:textAlignment w:val="auto"/>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pPr>
        <w:keepNext w:val="0"/>
        <w:keepLines w:val="0"/>
        <w:pageBreakBefore w:val="0"/>
        <w:widowControl/>
        <w:kinsoku/>
        <w:wordWrap/>
        <w:overflowPunct/>
        <w:topLinePunct w:val="0"/>
        <w:autoSpaceDE/>
        <w:autoSpaceDN/>
        <w:bidi w:val="0"/>
        <w:adjustRightInd/>
        <w:snapToGrid/>
        <w:spacing w:line="560" w:lineRule="exact"/>
        <w:ind w:firstLine="643" w:firstLineChars="200"/>
        <w:textAlignment w:val="auto"/>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pPr>
        <w:keepNext w:val="0"/>
        <w:keepLines w:val="0"/>
        <w:pageBreakBefore w:val="0"/>
        <w:widowControl/>
        <w:kinsoku/>
        <w:wordWrap/>
        <w:overflowPunct/>
        <w:topLinePunct w:val="0"/>
        <w:autoSpaceDE/>
        <w:autoSpaceDN/>
        <w:bidi w:val="0"/>
        <w:adjustRightInd/>
        <w:snapToGrid/>
        <w:spacing w:line="560" w:lineRule="exact"/>
        <w:ind w:firstLine="643" w:firstLineChars="200"/>
        <w:textAlignment w:val="auto"/>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指除上述“财政拨款收入”、“事业收入”、“经营收入”、“附属单位上缴收入”等之外取得的收入。</w:t>
      </w:r>
    </w:p>
    <w:p>
      <w:pPr>
        <w:keepNext w:val="0"/>
        <w:keepLines w:val="0"/>
        <w:pageBreakBefore w:val="0"/>
        <w:widowControl/>
        <w:kinsoku/>
        <w:wordWrap/>
        <w:overflowPunct/>
        <w:topLinePunct w:val="0"/>
        <w:autoSpaceDE/>
        <w:autoSpaceDN/>
        <w:bidi w:val="0"/>
        <w:adjustRightInd/>
        <w:snapToGrid/>
        <w:spacing w:line="560" w:lineRule="exact"/>
        <w:ind w:firstLine="643" w:firstLineChars="200"/>
        <w:textAlignment w:val="auto"/>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kinsoku/>
        <w:wordWrap/>
        <w:overflowPunct/>
        <w:topLinePunct w:val="0"/>
        <w:autoSpaceDE/>
        <w:autoSpaceDN/>
        <w:bidi w:val="0"/>
        <w:adjustRightInd/>
        <w:snapToGrid/>
        <w:spacing w:line="560" w:lineRule="exact"/>
        <w:ind w:firstLine="643" w:firstLineChars="200"/>
        <w:textAlignment w:val="auto"/>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kinsoku/>
        <w:wordWrap/>
        <w:overflowPunct/>
        <w:topLinePunct w:val="0"/>
        <w:autoSpaceDE/>
        <w:autoSpaceDN/>
        <w:bidi w:val="0"/>
        <w:adjustRightInd/>
        <w:snapToGrid/>
        <w:spacing w:line="560" w:lineRule="exact"/>
        <w:ind w:firstLine="643" w:firstLineChars="200"/>
        <w:textAlignment w:val="auto"/>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pPr>
        <w:keepNext w:val="0"/>
        <w:keepLines w:val="0"/>
        <w:pageBreakBefore w:val="0"/>
        <w:widowControl/>
        <w:kinsoku/>
        <w:wordWrap/>
        <w:overflowPunct/>
        <w:topLinePunct w:val="0"/>
        <w:autoSpaceDE/>
        <w:autoSpaceDN/>
        <w:bidi w:val="0"/>
        <w:adjustRightInd/>
        <w:snapToGrid/>
        <w:spacing w:line="560" w:lineRule="exact"/>
        <w:ind w:firstLine="643" w:firstLineChars="200"/>
        <w:textAlignment w:val="auto"/>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pPr>
        <w:keepNext w:val="0"/>
        <w:keepLines w:val="0"/>
        <w:pageBreakBefore w:val="0"/>
        <w:widowControl/>
        <w:kinsoku/>
        <w:wordWrap/>
        <w:overflowPunct/>
        <w:topLinePunct w:val="0"/>
        <w:autoSpaceDE/>
        <w:autoSpaceDN/>
        <w:bidi w:val="0"/>
        <w:adjustRightInd/>
        <w:snapToGrid/>
        <w:spacing w:line="560" w:lineRule="exact"/>
        <w:ind w:firstLine="643" w:firstLineChars="200"/>
        <w:textAlignment w:val="auto"/>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pPr>
        <w:keepNext w:val="0"/>
        <w:keepLines w:val="0"/>
        <w:pageBreakBefore w:val="0"/>
        <w:widowControl/>
        <w:kinsoku/>
        <w:wordWrap/>
        <w:overflowPunct/>
        <w:topLinePunct w:val="0"/>
        <w:autoSpaceDE/>
        <w:autoSpaceDN/>
        <w:bidi w:val="0"/>
        <w:adjustRightInd/>
        <w:snapToGrid/>
        <w:spacing w:line="560" w:lineRule="exact"/>
        <w:ind w:firstLine="643" w:firstLineChars="200"/>
        <w:textAlignment w:val="auto"/>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pPr>
        <w:keepNext w:val="0"/>
        <w:keepLines w:val="0"/>
        <w:pageBreakBefore w:val="0"/>
        <w:widowControl/>
        <w:kinsoku/>
        <w:wordWrap/>
        <w:overflowPunct/>
        <w:topLinePunct w:val="0"/>
        <w:autoSpaceDE/>
        <w:autoSpaceDN/>
        <w:bidi w:val="0"/>
        <w:adjustRightInd/>
        <w:snapToGrid/>
        <w:spacing w:line="560" w:lineRule="exact"/>
        <w:ind w:firstLine="643" w:firstLineChars="200"/>
        <w:textAlignment w:val="auto"/>
        <w:rPr>
          <w:rFonts w:ascii="仿宋_GB2312" w:eastAsia="仿宋_GB2312"/>
          <w:sz w:val="32"/>
          <w:szCs w:val="32"/>
          <w:lang w:eastAsia="zh-CN"/>
        </w:rPr>
      </w:pPr>
      <w:r>
        <w:rPr>
          <w:rFonts w:ascii="仿宋_GB2312" w:eastAsia="仿宋_GB2312"/>
          <w:b/>
          <w:sz w:val="32"/>
          <w:szCs w:val="32"/>
          <w:lang w:eastAsia="zh-CN"/>
        </w:rPr>
        <w:t>十三、“三公”经费：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keepNext w:val="0"/>
        <w:keepLines w:val="0"/>
        <w:pageBreakBefore w:val="0"/>
        <w:widowControl/>
        <w:kinsoku/>
        <w:wordWrap/>
        <w:overflowPunct/>
        <w:topLinePunct w:val="0"/>
        <w:autoSpaceDE/>
        <w:autoSpaceDN/>
        <w:bidi w:val="0"/>
        <w:adjustRightInd/>
        <w:snapToGrid/>
        <w:spacing w:line="560" w:lineRule="exact"/>
        <w:ind w:firstLine="643" w:firstLineChars="200"/>
        <w:textAlignment w:val="auto"/>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pPr>
        <w:keepNext w:val="0"/>
        <w:keepLines w:val="0"/>
        <w:pageBreakBefore w:val="0"/>
        <w:widowControl/>
        <w:kinsoku/>
        <w:wordWrap/>
        <w:overflowPunct/>
        <w:topLinePunct w:val="0"/>
        <w:autoSpaceDE/>
        <w:autoSpaceDN/>
        <w:bidi w:val="0"/>
        <w:adjustRightInd/>
        <w:snapToGrid/>
        <w:spacing w:line="560" w:lineRule="exact"/>
        <w:textAlignment w:val="auto"/>
        <w:rPr>
          <w:lang w:eastAsia="zh-CN"/>
        </w:rPr>
      </w:pPr>
      <w:r>
        <w:rPr>
          <w:sz w:val="0"/>
          <w:szCs w:val="0"/>
          <w:lang w:eastAsia="zh-CN"/>
        </w:rPr>
        <w:br w:type="page"/>
      </w:r>
    </w:p>
    <w:p>
      <w:pPr>
        <w:keepNext w:val="0"/>
        <w:keepLines w:val="0"/>
        <w:pageBreakBefore w:val="0"/>
        <w:widowControl/>
        <w:kinsoku/>
        <w:wordWrap/>
        <w:overflowPunct/>
        <w:topLinePunct w:val="0"/>
        <w:autoSpaceDE/>
        <w:autoSpaceDN/>
        <w:bidi w:val="0"/>
        <w:adjustRightInd/>
        <w:snapToGrid/>
        <w:spacing w:line="560" w:lineRule="exact"/>
        <w:jc w:val="center"/>
        <w:textAlignment w:val="auto"/>
        <w:outlineLvl w:val="0"/>
        <w:rPr>
          <w:rFonts w:ascii="黑体" w:eastAsia="黑体"/>
          <w:sz w:val="32"/>
          <w:szCs w:val="32"/>
          <w:lang w:eastAsia="zh-CN"/>
        </w:rPr>
      </w:pPr>
      <w:r>
        <w:rPr>
          <w:rFonts w:ascii="黑体" w:eastAsia="黑体"/>
          <w:sz w:val="32"/>
          <w:szCs w:val="32"/>
          <w:lang w:eastAsia="zh-CN"/>
        </w:rPr>
        <w:t>第四部分</w:t>
      </w:r>
      <w:r>
        <w:rPr>
          <w:rFonts w:hint="default" w:ascii="黑体" w:eastAsia="黑体"/>
          <w:sz w:val="32"/>
          <w:szCs w:val="32"/>
          <w:lang w:val="en-US" w:eastAsia="zh-CN"/>
        </w:rPr>
        <w:t xml:space="preserve"> </w:t>
      </w:r>
      <w:bookmarkStart w:id="0" w:name="_GoBack"/>
      <w:bookmarkEnd w:id="0"/>
      <w:r>
        <w:rPr>
          <w:rFonts w:ascii="黑体" w:eastAsia="黑体"/>
          <w:sz w:val="32"/>
          <w:szCs w:val="32"/>
          <w:lang w:eastAsia="zh-CN"/>
        </w:rPr>
        <w:t>部门决算报表（见附表）</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outlineLvl w:val="1"/>
        <w:rPr>
          <w:rFonts w:ascii="仿宋_GB2312" w:eastAsia="仿宋_GB2312"/>
          <w:sz w:val="32"/>
          <w:szCs w:val="32"/>
          <w:lang w:eastAsia="zh-CN"/>
        </w:rPr>
      </w:pPr>
      <w:r>
        <w:rPr>
          <w:rFonts w:ascii="仿宋_GB2312" w:eastAsia="仿宋_GB2312"/>
          <w:sz w:val="32"/>
          <w:szCs w:val="32"/>
          <w:lang w:eastAsia="zh-CN"/>
        </w:rPr>
        <w:t>一、《收入支出决算总表》</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outlineLvl w:val="1"/>
        <w:rPr>
          <w:rFonts w:ascii="仿宋_GB2312" w:eastAsia="仿宋_GB2312"/>
          <w:sz w:val="32"/>
          <w:szCs w:val="32"/>
          <w:lang w:eastAsia="zh-CN"/>
        </w:rPr>
      </w:pPr>
      <w:r>
        <w:rPr>
          <w:rFonts w:ascii="仿宋_GB2312" w:eastAsia="仿宋_GB2312"/>
          <w:sz w:val="32"/>
          <w:szCs w:val="32"/>
          <w:lang w:eastAsia="zh-CN"/>
        </w:rPr>
        <w:t>二、《收入决算表》</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outlineLvl w:val="1"/>
        <w:rPr>
          <w:rFonts w:ascii="仿宋_GB2312" w:eastAsia="仿宋_GB2312"/>
          <w:sz w:val="32"/>
          <w:szCs w:val="32"/>
          <w:lang w:eastAsia="zh-CN"/>
        </w:rPr>
      </w:pPr>
      <w:r>
        <w:rPr>
          <w:rFonts w:ascii="仿宋_GB2312" w:eastAsia="仿宋_GB2312"/>
          <w:sz w:val="32"/>
          <w:szCs w:val="32"/>
          <w:lang w:eastAsia="zh-CN"/>
        </w:rPr>
        <w:t>三、《支出决算表》</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outlineLvl w:val="1"/>
        <w:rPr>
          <w:rFonts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roma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769D"/>
    <w:rsid w:val="000E5764"/>
    <w:rsid w:val="00242226"/>
    <w:rsid w:val="002A7AFB"/>
    <w:rsid w:val="0097769D"/>
    <w:rsid w:val="27CD50BE"/>
    <w:rsid w:val="32090977"/>
    <w:rsid w:val="57B42CAE"/>
    <w:rsid w:val="603C6BFD"/>
    <w:rsid w:val="7F5513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376092"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8">
    <w:name w:val="footer"/>
    <w:basedOn w:val="1"/>
    <w:link w:val="24"/>
    <w:semiHidden/>
    <w:unhideWhenUsed/>
    <w:qFormat/>
    <w:uiPriority w:val="99"/>
    <w:pPr>
      <w:tabs>
        <w:tab w:val="center" w:pos="4153"/>
        <w:tab w:val="right" w:pos="8306"/>
      </w:tabs>
      <w:snapToGrid w:val="0"/>
      <w:spacing w:line="240" w:lineRule="auto"/>
    </w:pPr>
    <w:rPr>
      <w:sz w:val="18"/>
      <w:szCs w:val="18"/>
    </w:rPr>
  </w:style>
  <w:style w:type="paragraph" w:styleId="9">
    <w:name w:val="header"/>
    <w:basedOn w:val="1"/>
    <w:link w:val="17"/>
    <w:unhideWhenUsed/>
    <w:qFormat/>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1">
    <w:name w:val="Title"/>
    <w:basedOn w:val="1"/>
    <w:next w:val="1"/>
    <w:link w:val="23"/>
    <w:qFormat/>
    <w:uiPriority w:val="10"/>
    <w:pPr>
      <w:pBdr>
        <w:bottom w:val="single" w:color="4F81BD" w:themeColor="accent1" w:sz="8" w:space="4"/>
      </w:pBdr>
      <w:spacing w:after="300"/>
      <w:contextualSpacing/>
    </w:pPr>
    <w:rPr>
      <w:rFonts w:asciiTheme="majorHAnsi" w:hAnsiTheme="majorHAnsi" w:eastAsiaTheme="majorEastAsia" w:cstheme="majorBidi"/>
      <w:color w:val="17375E" w:themeColor="text2" w:themeShade="BF"/>
      <w:spacing w:val="5"/>
      <w:kern w:val="28"/>
      <w:sz w:val="52"/>
      <w:szCs w:val="52"/>
    </w:rPr>
  </w:style>
  <w:style w:type="table" w:styleId="13">
    <w:name w:val="Table Grid"/>
    <w:basedOn w:val="12"/>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5">
    <w:name w:val="Emphasis"/>
    <w:basedOn w:val="14"/>
    <w:qFormat/>
    <w:uiPriority w:val="20"/>
    <w:rPr>
      <w:i/>
      <w:iCs/>
    </w:rPr>
  </w:style>
  <w:style w:type="character" w:styleId="16">
    <w:name w:val="Hyperlink"/>
    <w:basedOn w:val="14"/>
    <w:unhideWhenUsed/>
    <w:qFormat/>
    <w:uiPriority w:val="99"/>
    <w:rPr>
      <w:color w:val="0000FF" w:themeColor="hyperlink"/>
      <w:u w:val="single"/>
      <w14:textFill>
        <w14:solidFill>
          <w14:schemeClr w14:val="hlink"/>
        </w14:solidFill>
      </w14:textFill>
    </w:rPr>
  </w:style>
  <w:style w:type="character" w:customStyle="1" w:styleId="17">
    <w:name w:val="页眉 Char"/>
    <w:basedOn w:val="14"/>
    <w:link w:val="9"/>
    <w:qFormat/>
    <w:uiPriority w:val="99"/>
  </w:style>
  <w:style w:type="character" w:customStyle="1" w:styleId="18">
    <w:name w:val="标题 1 Char"/>
    <w:basedOn w:val="14"/>
    <w:link w:val="2"/>
    <w:qFormat/>
    <w:uiPriority w:val="9"/>
    <w:rPr>
      <w:rFonts w:asciiTheme="majorHAnsi" w:hAnsiTheme="majorHAnsi" w:eastAsiaTheme="majorEastAsia" w:cstheme="majorBidi"/>
      <w:b/>
      <w:bCs/>
      <w:color w:val="376092" w:themeColor="accent1" w:themeShade="BF"/>
      <w:sz w:val="28"/>
      <w:szCs w:val="28"/>
    </w:rPr>
  </w:style>
  <w:style w:type="character" w:customStyle="1" w:styleId="19">
    <w:name w:val="标题 2 Char"/>
    <w:basedOn w:val="14"/>
    <w:link w:val="3"/>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20">
    <w:name w:val="标题 3 Char"/>
    <w:basedOn w:val="14"/>
    <w:link w:val="4"/>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21">
    <w:name w:val="标题 4 Char"/>
    <w:basedOn w:val="14"/>
    <w:link w:val="5"/>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22">
    <w:name w:val="副标题 Char"/>
    <w:basedOn w:val="14"/>
    <w:link w:val="10"/>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character" w:customStyle="1" w:styleId="23">
    <w:name w:val="标题 Char"/>
    <w:basedOn w:val="14"/>
    <w:link w:val="11"/>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24">
    <w:name w:val="页脚 Char"/>
    <w:basedOn w:val="14"/>
    <w:link w:val="8"/>
    <w:semiHidden/>
    <w:qFormat/>
    <w:uiPriority w:val="99"/>
    <w:rPr>
      <w:sz w:val="18"/>
      <w:szCs w:val="18"/>
    </w:rPr>
  </w:style>
  <w:style w:type="paragraph" w:customStyle="1" w:styleId="25">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5579</Words>
  <Characters>6187</Characters>
  <Lines>41</Lines>
  <Paragraphs>11</Paragraphs>
  <TotalTime>3</TotalTime>
  <ScaleCrop>false</ScaleCrop>
  <LinksUpToDate>false</LinksUpToDate>
  <CharactersWithSpaces>6197</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2025-08-20T09:03:00Z</dcterms:created>
  <dc:creator>lenovo</dc:creator>
  <cp:lastModifiedBy>Administrator</cp:lastModifiedBy>
  <dcterms:modified xsi:type="dcterms:W3CDTF">2025-08-26T04:29:19Z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092CB79EE18144C5B5CD8FE03E3E6D7E</vt:lpwstr>
  </property>
</Properties>
</file>