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lang w:eastAsia="zh-CN"/>
        </w:rPr>
      </w:pPr>
      <w:r>
        <w:rPr>
          <w:rFonts w:ascii="宋体" w:eastAsia="黑体"/>
          <w:sz w:val="44"/>
          <w:szCs w:val="44"/>
          <w:lang w:eastAsia="zh-CN"/>
        </w:rPr>
        <w:t>新疆维吾尔自治区科技项目服务中心</w:t>
      </w:r>
    </w:p>
    <w:p>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line="240" w:lineRule="auto"/>
        <w:jc w:val="center"/>
        <w:rPr>
          <w:rFonts w:ascii="黑体" w:eastAsia="黑体"/>
          <w:sz w:val="32"/>
          <w:szCs w:val="32"/>
          <w:lang w:eastAsia="zh-CN"/>
        </w:rPr>
      </w:pPr>
      <w:r>
        <w:rPr>
          <w:rFonts w:ascii="黑体" w:eastAsia="黑体"/>
          <w:b/>
          <w:sz w:val="32"/>
          <w:szCs w:val="32"/>
          <w:lang w:eastAsia="zh-CN"/>
        </w:rPr>
        <w:t>目</w:t>
      </w:r>
      <w:r>
        <w:rPr>
          <w:rFonts w:hint="default" w:ascii="黑体" w:eastAsia="黑体"/>
          <w:b/>
          <w:sz w:val="32"/>
          <w:szCs w:val="32"/>
          <w:lang w:val="en-US" w:eastAsia="zh-CN"/>
        </w:rPr>
        <w:t xml:space="preserve">  </w:t>
      </w:r>
      <w:r>
        <w:rPr>
          <w:rFonts w:ascii="黑体" w:eastAsia="黑体"/>
          <w:b/>
          <w:sz w:val="32"/>
          <w:szCs w:val="32"/>
          <w:lang w:eastAsia="zh-CN"/>
        </w:rPr>
        <w:t>录</w:t>
      </w:r>
    </w:p>
    <w:p>
      <w:pPr>
        <w:spacing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单位概况</w:t>
      </w:r>
    </w:p>
    <w:p>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line="240" w:lineRule="auto"/>
        <w:rPr>
          <w:rFonts w:ascii="仿宋_GB2312" w:eastAsia="仿宋_GB2312"/>
          <w:sz w:val="32"/>
          <w:szCs w:val="32"/>
          <w:lang w:eastAsia="zh-CN"/>
        </w:rPr>
      </w:pPr>
      <w:r>
        <w:rPr>
          <w:rFonts w:ascii="仿宋_GB2312" w:eastAsia="仿宋_GB2312"/>
          <w:b/>
          <w:sz w:val="32"/>
          <w:szCs w:val="32"/>
          <w:lang w:eastAsia="zh-CN"/>
        </w:rPr>
        <w:t>第二部分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部门决算情况说明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line="240" w:lineRule="auto"/>
        <w:rPr>
          <w:rFonts w:ascii="仿宋_GB2312" w:eastAsia="仿宋_GB2312"/>
          <w:sz w:val="32"/>
          <w:szCs w:val="32"/>
          <w:lang w:eastAsia="zh-CN"/>
        </w:rPr>
      </w:pPr>
      <w:r>
        <w:rPr>
          <w:rFonts w:ascii="仿宋_GB2312" w:eastAsia="仿宋_GB2312"/>
          <w:b/>
          <w:sz w:val="32"/>
          <w:szCs w:val="32"/>
          <w:lang w:eastAsia="zh-CN"/>
        </w:rPr>
        <w:t>第三部分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专业名词解释</w:t>
      </w:r>
    </w:p>
    <w:p>
      <w:pPr>
        <w:spacing w:line="240" w:lineRule="auto"/>
        <w:rPr>
          <w:rFonts w:ascii="仿宋_GB2312" w:eastAsia="仿宋_GB2312"/>
          <w:sz w:val="32"/>
          <w:szCs w:val="32"/>
          <w:lang w:eastAsia="zh-CN"/>
        </w:rPr>
      </w:pPr>
      <w:r>
        <w:rPr>
          <w:rFonts w:ascii="仿宋_GB2312" w:eastAsia="仿宋_GB2312"/>
          <w:b/>
          <w:sz w:val="32"/>
          <w:szCs w:val="32"/>
          <w:lang w:eastAsia="zh-CN"/>
        </w:rPr>
        <w:t>第四部分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部门决算报表（见附表）</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default" w:ascii="黑体" w:eastAsia="黑体"/>
          <w:sz w:val="32"/>
          <w:szCs w:val="32"/>
          <w:lang w:val="en-US" w:eastAsia="zh-CN"/>
        </w:rPr>
        <w:t xml:space="preserve"> </w:t>
      </w:r>
      <w:r>
        <w:rPr>
          <w:rFonts w:ascii="黑体" w:eastAsia="黑体"/>
          <w:sz w:val="32"/>
          <w:szCs w:val="32"/>
          <w:lang w:eastAsia="zh-CN"/>
        </w:rPr>
        <w:t>单位概况</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一、主要职能</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科技项目服务中心为自治区科技厅所属公益二类事业单位，为科技项目提供技术服务，承担自治区科技项目的受理、专家评审和科技项目检查、评估、考核等工作；组织开展对外科技交流与合作；承担科技成果引进、推广、转化等工作。</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新疆维吾尔自治区科技项目服务中心2024年度，实有人数86人，其中：在职人员38人，增加2人；离休人员0人，较上年无变化；退休人员48人，较上年无变化；</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新疆维吾尔自治区科技项目服务中心无下属预算单位，下设8个科室，分别是：办公室、科研财务部、重大项目部、资源平台部、基金业务部、科技金融部、科技合作部、监督评价部。</w:t>
      </w: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第二部分部门决算情况说明</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2024年度收入总计2,078.52万元，其中：本年收入合计1,502.98万元，使用非财政拨款结余（含专用结余）0.00万元，年初结转和结余575.55万元。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2024年度支出总计2,078.52万元，其中：本年支出合计1,479.70万元，结余分配98.41万元，年末结转和结余500.41万元。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收入支出总体与上年相比，增加48.86万元，增长2.41%，主要原因是：在职人员增加2人，导致收入支出较上年稍有增长。</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1,502.98万元，其中：财政拨款收入1,030.02万元,占68.53%；上级补助收入0.00万元,占0.00%；事业收入181.84万元，占12.10%；经营收入0.00万元,占0.00%；附属单位上缴收入0.00万元，占0.00%；其他收入291.12万元，占19.37%。</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本年支出1,479.70万元，其中：基本支出892.11万元，占60.29%；项目支出587.59万元，占39.71%；上缴上级支出0.00万元，占0.00%；经营支出0.00万元，占0.00%；对附属单位补助支出0.00万元，占0.00%。</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1,140.23万元，其中：年初财政拨款结转和结余110.21万元，本年财政拨款收入1,030.02万元。财政拨款支出总计1,140.23万元，其中：年末财政拨款结转和结余0.00万元，本年财政拨款支出1,140.23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56.32万元，下降4.71%，主要原因是：财政拨款总体支出中的项目支出有所减少。与年初预算相比，年初预算数783.09万元，决算数1,140.23万元，预决算差异率45.61%，主要原因是：追加2024年自治区自然科学基金项目组织实施管理经费、2024年工程技术研究中心第三方综合服务管理、2024年第十一届新疆创新创业大赛工作经费、 2024自治区高新技术产业开发区第三方科技服务、2024双创第三方科技综合服务管理、2024科博会、2024高交会项目支出</w:t>
      </w:r>
      <w:r>
        <w:rPr>
          <w:rFonts w:hint="default" w:ascii="仿宋_GB2312" w:eastAsia="仿宋_GB2312"/>
          <w:sz w:val="32"/>
          <w:szCs w:val="32"/>
          <w:lang w:val="en-US" w:eastAsia="zh-CN"/>
        </w:rPr>
        <w:t>,</w:t>
      </w:r>
      <w:r>
        <w:rPr>
          <w:rFonts w:hint="eastAsia" w:ascii="仿宋_GB2312" w:eastAsia="仿宋_GB2312"/>
          <w:sz w:val="32"/>
          <w:szCs w:val="32"/>
          <w:lang w:val="en-US" w:eastAsia="zh-CN"/>
        </w:rPr>
        <w:t>故存在预决算差异</w:t>
      </w:r>
      <w:r>
        <w:rPr>
          <w:rFonts w:ascii="仿宋_GB2312" w:eastAsia="仿宋_GB2312"/>
          <w:sz w:val="32"/>
          <w:szCs w:val="32"/>
          <w:lang w:eastAsia="zh-CN"/>
        </w:rPr>
        <w:t>。</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2024年度一般公共预算财政拨款支出1,140.23万元，占本年支出合计的77.06%。与上年相比，增加67.21万元，增长6.26%，主要原因是：在职人员增加2人</w:t>
      </w:r>
      <w:r>
        <w:rPr>
          <w:rFonts w:hint="eastAsia" w:ascii="仿宋_GB2312" w:eastAsia="仿宋_GB2312"/>
          <w:sz w:val="32"/>
          <w:szCs w:val="32"/>
          <w:lang w:eastAsia="zh-CN"/>
        </w:rPr>
        <w:t>，基本支出增加；本年追加财政拨款项目</w:t>
      </w:r>
      <w:r>
        <w:rPr>
          <w:rFonts w:ascii="仿宋_GB2312" w:eastAsia="仿宋_GB2312"/>
          <w:sz w:val="32"/>
          <w:szCs w:val="32"/>
          <w:lang w:eastAsia="zh-CN"/>
        </w:rPr>
        <w:t>自治区自然科学基金项目组织实施管理经费</w:t>
      </w:r>
      <w:r>
        <w:rPr>
          <w:rFonts w:hint="eastAsia" w:ascii="仿宋_GB2312" w:eastAsia="仿宋_GB2312"/>
          <w:sz w:val="32"/>
          <w:szCs w:val="32"/>
          <w:lang w:eastAsia="zh-CN"/>
        </w:rPr>
        <w:t>等支出增加</w:t>
      </w:r>
      <w:r>
        <w:rPr>
          <w:rFonts w:ascii="仿宋_GB2312" w:eastAsia="仿宋_GB2312"/>
          <w:sz w:val="32"/>
          <w:szCs w:val="32"/>
          <w:lang w:eastAsia="zh-CN"/>
        </w:rPr>
        <w:t>。与年初预算相比，年初预算数783.09万元，决算数1,140.23万元，预决算差异率45.61%，主要原因是：追加2024年自治区自然科学基金项目组织实施管理经费、2024年工程技术研究中心第三方综合服务管理、2024年第十一届新疆创新创业大赛工作经费、 2024自治区高新技术产业开发区第三方科技服务、2024双创第三方科技综合服务管理、2024科博会、2024高交会项目支出</w:t>
      </w:r>
      <w:r>
        <w:rPr>
          <w:rFonts w:hint="default" w:ascii="仿宋_GB2312" w:eastAsia="仿宋_GB2312"/>
          <w:sz w:val="32"/>
          <w:szCs w:val="32"/>
          <w:lang w:val="en-US" w:eastAsia="zh-CN"/>
        </w:rPr>
        <w:t>,</w:t>
      </w:r>
      <w:r>
        <w:rPr>
          <w:rFonts w:hint="eastAsia" w:ascii="仿宋_GB2312" w:eastAsia="仿宋_GB2312"/>
          <w:sz w:val="32"/>
          <w:szCs w:val="32"/>
          <w:lang w:val="en-US" w:eastAsia="zh-CN"/>
        </w:rPr>
        <w:t>故存在预决算差异</w:t>
      </w:r>
      <w:r>
        <w:rPr>
          <w:rFonts w:ascii="仿宋_GB2312" w:eastAsia="仿宋_GB2312"/>
          <w:sz w:val="32"/>
          <w:szCs w:val="32"/>
          <w:lang w:eastAsia="zh-CN"/>
        </w:rPr>
        <w:t>。</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科学技术支出（类）1,140.23万元，占100.00%。</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1、科学技术支出（类）基础研究（款）自然科学基金（项）：支出决算数为81.66万元，比上年决算减少11.22万元，下降12.08%，主要原因是：2024年自治区自然科学基金项目组织实施管理经费项目支出有所减少。</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2、科学技术支出（类）基础研究（款）实验室及相关设施（项）：支出决算数为40.42万元，比上年决算增加30.72万元，增长316.70%，主要原因是：2024年工程技术研究中心第三方综合服务管理项目支出有所增长。</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3、科学技术支出（类）基础研究（款）科技人才队伍建设（项）：支出决算数为27.76万元，比上年决算增加15.23万元，增长121.55%，主要原因是：青年科技创新人才培养项目支出有所增长。</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4、科学技术支出（类）技术研究与开发（款）科技成果转化与扩散（项）：支出决算数为73.93万元，比上年决算减少3.87万元，下降4.97%，主要原因是：2024年第十一届新疆创新创业大赛工作经费、2024自治区高新技术产业开发区第三方科技服务项目支出稍微有所减少。</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5、科学技术支出（类）科技条件与服务（款）机构运行（项）：支出决算数为807.56万元，比上年决算增加49.24万元，增长6.49%，主要原因是：</w:t>
      </w:r>
      <w:r>
        <w:rPr>
          <w:rFonts w:hint="eastAsia" w:ascii="仿宋_GB2312" w:eastAsia="仿宋_GB2312"/>
          <w:sz w:val="32"/>
          <w:szCs w:val="32"/>
          <w:lang w:eastAsia="zh-CN"/>
        </w:rPr>
        <w:t>人员岗位变动及调整基本工资，使得本年基本支出增加</w:t>
      </w:r>
      <w:r>
        <w:rPr>
          <w:rFonts w:ascii="仿宋_GB2312" w:eastAsia="仿宋_GB2312"/>
          <w:sz w:val="32"/>
          <w:szCs w:val="32"/>
          <w:lang w:eastAsia="zh-CN"/>
        </w:rPr>
        <w:t>。</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6、科学技术支出（类）科技条件与服务（款）技术创新服务体系（项）：支出决算数为24.70万元，比上年决算减少6.18万元，下降20.01%，主要原因是：2024双创第三方科技综合服务管理项目支出有所减少。</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7、科学技术支出（类）科技交流与合作（款）其他科技交流与合作支出（项）：支出决算数为0.00万元，比上年决算减少90.92万元，下降100.00%，主要原因是：2024年没有</w:t>
      </w:r>
      <w:r>
        <w:rPr>
          <w:rFonts w:hint="eastAsia" w:ascii="仿宋_GB2312" w:eastAsia="仿宋_GB2312"/>
          <w:sz w:val="32"/>
          <w:szCs w:val="32"/>
          <w:lang w:eastAsia="zh-CN"/>
        </w:rPr>
        <w:t>安排</w:t>
      </w:r>
      <w:r>
        <w:rPr>
          <w:rFonts w:ascii="仿宋_GB2312" w:eastAsia="仿宋_GB2312"/>
          <w:sz w:val="32"/>
          <w:szCs w:val="32"/>
          <w:lang w:eastAsia="zh-CN"/>
        </w:rPr>
        <w:t>科学技术支出（类）科技交流与合作（款）其他科技交流与合作支出（项）类项目。</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8、科学技术支出（类）其他科学技术支出（款）其他科学技术支出（项）：支出决算数为84.20万元，比上年决算增加84.20万元，增长100.00%，主要原因是：</w:t>
      </w:r>
      <w:r>
        <w:rPr>
          <w:rFonts w:hint="eastAsia" w:ascii="仿宋_GB2312" w:eastAsia="仿宋_GB2312"/>
          <w:sz w:val="32"/>
          <w:szCs w:val="32"/>
          <w:lang w:eastAsia="zh-CN"/>
        </w:rPr>
        <w:t>本年</w:t>
      </w:r>
      <w:r>
        <w:rPr>
          <w:rFonts w:ascii="仿宋_GB2312" w:eastAsia="仿宋_GB2312"/>
          <w:sz w:val="32"/>
          <w:szCs w:val="32"/>
          <w:lang w:eastAsia="zh-CN"/>
        </w:rPr>
        <w:t>追加2024科博会、2024高交会项目支出。</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807.56万元，其中：人员经费752.74万元，包括：基本工资、津贴补贴、奖金、绩效工资、机关事业单位基本养老保险缴费、职业年金缴费、职工基本医疗保险缴费、公务员医疗补助缴费、其他社会保障缴费、住房公积金、其他工资福利支出、退休费、抚恤金和其他对个人和家庭的补助。</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公用经费54.83万元，包括：办公费、水费、电费、邮电费、取暖费、物业管理费、差旅费、维修（护）费、委托业务费、工会经费、福利费、公务用车运行维护费和其他商品和服务支出。</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2.20万元，与上年相比无变化，主要原因是：严格执行“三公”经费预算，严格控制因公出国（境）费用，加强公务用车管理，减少公车出行，严格使用公务接待费、严格控制“三公”经费支出。其中：因公出国（境）费支出0.00万元,占0.00%，与上年相比无变化，主要原因是：我单位2023年度与2024年度均未安排因公出国（境）费；公务用车购置及运行维护费支出2.20万元，占100.00%，与上年相比无变化，主要原因是：加强公务用车管理，减少公车出行</w:t>
      </w:r>
      <w:r>
        <w:rPr>
          <w:rFonts w:hint="eastAsia" w:ascii="仿宋_GB2312" w:eastAsia="仿宋_GB2312"/>
          <w:sz w:val="32"/>
          <w:szCs w:val="32"/>
          <w:lang w:eastAsia="zh-CN"/>
        </w:rPr>
        <w:t>，</w:t>
      </w:r>
      <w:r>
        <w:rPr>
          <w:rFonts w:ascii="仿宋_GB2312" w:eastAsia="仿宋_GB2312"/>
          <w:sz w:val="32"/>
          <w:szCs w:val="32"/>
          <w:lang w:eastAsia="zh-CN"/>
        </w:rPr>
        <w:t>严格控制公务用车运行维护费支出；公务接待费支出0.00万元，占0.00%，与上年相比无变化，主要原因是：我单位2023年度与2024年度均未安排公务接待费。</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因公出国（境）费支出0.00万元，开支内容包括我单位无因公出国（境）费。单位全年安排的因公出国（境）团组0个，因公出国（境）0人次。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2.20万元，其中：公务用车购置费0.00万元，公务用车运行维护费2.20万元。公务用车运行维护费开支内容包括公务用车燃料费、维修费、过路过桥费、保险费等支出。公务用车购置数0辆，公务用车保有量2辆。国有资产占用情况中固定资产车辆2辆，与公务用车保有量差异原因是：我单位国有资产固定资产车辆数量与公务用车保有量无差异。</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2.20万元，决算数2.20万元，预决算差异率0.00%，主要原因是：我单位“三公”经费支出预决算无差异。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2.20万元，决算数2.20万元，预决算差异率0.00%，主要原因是：我单位公务用车运行费预决算无差异；公务接待费全年预算数0.00万元，决算数0.00万元，预决算差异率0.00%，主要原因是：我单位无公务接待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2024年度新疆维吾尔自治区科技项目服务中心单位（事业单位）公用经费支出54.83万元，比上年减少0.22万元，下降0.40%，主要原因是：差旅费支出减少，民族团结一家亲费用有所降低。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2024年度政府采购支出总额7.22万元，其中：政府采购货物支出2.50万元、政府采购工程支出0.00万元、政府采购服务支出4.72万元。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授予中小企业合同金额6.87万元，占政府采购支出总额的95.15%，其中：授予小微企业合同金额1.98万元，占政府采购支出总额的27.42%。</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截至2024年12月31日，房屋5,286.82平方米，价值1,733.35万元。</w:t>
      </w:r>
      <w:r>
        <w:rPr>
          <w:rFonts w:ascii="仿宋_GB2312" w:eastAsia="仿宋_GB2312"/>
          <w:sz w:val="32"/>
          <w:szCs w:val="32"/>
          <w:lang w:eastAsia="zh-CN"/>
        </w:rPr>
        <w:t>车辆2辆，价值73.50万元，其中：副部（省）级及以上领导用车0辆、主要负责人用车0辆、机要通信用车0辆、应急保障用车0辆、执法执勤用车0辆、特种专业技术用车0辆、离退休干部服务用车0辆、其他用车2辆，其他用车主要是：1辆小型载客汽车和1辆大中型载客汽车;单价100万元（含）以上设备（不含车辆）0台。</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4个，全年预算数500.30万元，全年执行数522.06万元。预算绩效管理取得的成效：一是抓好绩效目标编制，及时报送绩效目标。二是探索绩效跟踪监控，要求加强过程监控。三是深入开展财政支出绩效评价，对专项资金实施绩效自评和项目核查，在此基础上形成自评报告。发现的问题及原因：一是思想认识应提升。 个别部门对评价工作的重视程度还不够，主要由于评价结果和预算安排尚未密切挂钩,对提高预算绩效管理的认识不到位。二是可操作性待增强。绩效目标申报的时效性受资金下达时间的影响。下一步改进措施：一是合理编制项目预算。为了有效利用财政资金，进一步合理编制项目预算，提高财政资金使用效率。二是努力提高专业素质。需要参与预算绩效管理工作的人员努力提高自身专业素质,确保绩效评价质量。具体附项目支出绩效自评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pPr>
        <w:spacing w:line="240" w:lineRule="auto"/>
        <w:ind w:firstLine="640" w:firstLineChars="200"/>
        <w:rPr>
          <w:rFonts w:ascii="仿宋_GB2312" w:eastAsia="仿宋_GB2312"/>
          <w:sz w:val="32"/>
          <w:szCs w:val="32"/>
          <w:lang w:eastAsia="zh-CN"/>
        </w:rPr>
      </w:pP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第三部分</w:t>
      </w:r>
      <w:r>
        <w:rPr>
          <w:rFonts w:hint="default" w:ascii="黑体" w:eastAsia="黑体"/>
          <w:sz w:val="32"/>
          <w:szCs w:val="32"/>
          <w:lang w:val="en-US" w:eastAsia="zh-CN"/>
        </w:rPr>
        <w:t xml:space="preserve"> </w:t>
      </w:r>
      <w:r>
        <w:rPr>
          <w:rFonts w:ascii="黑体" w:eastAsia="黑体"/>
          <w:sz w:val="32"/>
          <w:szCs w:val="32"/>
          <w:lang w:eastAsia="zh-CN"/>
        </w:rPr>
        <w:t>专业名词解释</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第四部分</w:t>
      </w:r>
      <w:r>
        <w:rPr>
          <w:rFonts w:hint="default" w:ascii="黑体" w:eastAsia="黑体"/>
          <w:sz w:val="32"/>
          <w:szCs w:val="32"/>
          <w:lang w:val="en-US" w:eastAsia="zh-CN"/>
        </w:rPr>
        <w:t xml:space="preserve"> </w:t>
      </w:r>
      <w:bookmarkStart w:id="0" w:name="_GoBack"/>
      <w:bookmarkEnd w:id="0"/>
      <w:r>
        <w:rPr>
          <w:rFonts w:ascii="黑体" w:eastAsia="黑体"/>
          <w:sz w:val="32"/>
          <w:szCs w:val="32"/>
          <w:lang w:eastAsia="zh-CN"/>
        </w:rPr>
        <w:t>部门决算报表（见附表）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483B2B"/>
    <w:rsid w:val="003B73EC"/>
    <w:rsid w:val="00483B2B"/>
    <w:rsid w:val="00885008"/>
    <w:rsid w:val="00AB2E3F"/>
    <w:rsid w:val="00E41D45"/>
    <w:rsid w:val="00F7240F"/>
    <w:rsid w:val="00FC4530"/>
    <w:rsid w:val="56F0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semiHidden/>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000FF" w:themeColor="hyperlink"/>
      <w:u w:val="single"/>
    </w:rPr>
  </w:style>
  <w:style w:type="character" w:customStyle="1" w:styleId="17">
    <w:name w:val="页眉 Char"/>
    <w:basedOn w:val="14"/>
    <w:link w:val="9"/>
    <w:uiPriority w:val="99"/>
  </w:style>
  <w:style w:type="character" w:customStyle="1" w:styleId="18">
    <w:name w:val="标题 1 Char"/>
    <w:basedOn w:val="14"/>
    <w:link w:val="2"/>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uiPriority w:val="9"/>
    <w:rPr>
      <w:rFonts w:asciiTheme="majorHAnsi" w:hAnsiTheme="majorHAnsi" w:eastAsiaTheme="majorEastAsia" w:cstheme="majorBidi"/>
      <w:b/>
      <w:bCs/>
      <w:color w:val="4F81BD" w:themeColor="accent1"/>
    </w:rPr>
  </w:style>
  <w:style w:type="character" w:customStyle="1" w:styleId="21">
    <w:name w:val="标题 4 Char"/>
    <w:basedOn w:val="14"/>
    <w:link w:val="5"/>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948</Words>
  <Characters>5408</Characters>
  <Lines>45</Lines>
  <Paragraphs>12</Paragraphs>
  <TotalTime>2</TotalTime>
  <ScaleCrop>false</ScaleCrop>
  <LinksUpToDate>false</LinksUpToDate>
  <CharactersWithSpaces>6344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2025-08-21T11:06:00Z</dcterms:created>
  <dc:creator>Administrator</dc:creator>
  <cp:lastModifiedBy>Administrator</cp:lastModifiedBy>
  <dcterms:modified xsi:type="dcterms:W3CDTF">2025-08-25T11:51:01Z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4A0871279C864F168602910A5310E92F</vt:lpwstr>
  </property>
</Properties>
</file>