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新疆科技报社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科技报》是承担舆论宣传任务的我区唯一综合类科技专业报纸，也是我区专业报、行业报中唯一拥有三种文版的报纸。是科技领域的宣传主阵地。按照习近平总书记关于“科技创新、科学普及是实现创新发展的两翼”的要求，新疆科技报社坚持党管媒体，立足科技特色，坚持科技新闻宣传、科学知识普及并举，做强正面宣传，传递党的声音。《新疆科技报》弘扬科学精神，传播科学思想，倡导科学方法，普及科学知识，推动全民科学素养提升，被广大读者誉为</w:t>
      </w:r>
      <w:r>
        <w:rPr>
          <w:rFonts w:hint="eastAsia" w:ascii="仿宋_GB2312" w:eastAsia="仿宋_GB2312"/>
          <w:b w:val="0"/>
          <w:sz w:val="32"/>
          <w:szCs w:val="32"/>
          <w:lang w:eastAsia="zh-CN"/>
        </w:rPr>
        <w:t>“</w:t>
      </w:r>
      <w:r>
        <w:rPr>
          <w:rFonts w:ascii="仿宋_GB2312" w:eastAsia="仿宋_GB2312"/>
          <w:b w:val="0"/>
          <w:sz w:val="32"/>
          <w:szCs w:val="32"/>
        </w:rPr>
        <w:t>科技信息的传递者，科技致富的好帮手，科学知识的普及者，科学生活的好顾问</w:t>
      </w:r>
      <w:r>
        <w:rPr>
          <w:rFonts w:hint="eastAsia" w:ascii="仿宋_GB2312" w:eastAsia="仿宋_GB2312"/>
          <w:b w:val="0"/>
          <w:sz w:val="32"/>
          <w:szCs w:val="32"/>
          <w:lang w:eastAsia="zh-CN"/>
        </w:rPr>
        <w:t>”</w:t>
      </w:r>
      <w:r>
        <w:rPr>
          <w:rFonts w:ascii="仿宋_GB2312" w:eastAsia="仿宋_GB2312"/>
          <w:b w:val="0"/>
          <w:sz w:val="32"/>
          <w:szCs w:val="32"/>
        </w:rPr>
        <w:t>。自2007年起至今连续多年跻身新疆新闻出版“东风工程”报刊行列。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新疆科技报社2024年度，实有人数54人，其中：在职人员31人，减少1人；离休人员0人，较上年无变化；退休人员23人，增加1人。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新疆科技报社无下属预算单位，下设9个</w:t>
      </w:r>
      <w:r>
        <w:rPr>
          <w:rFonts w:hint="eastAsia" w:ascii="仿宋_GB2312" w:eastAsia="仿宋_GB2312"/>
          <w:b w:val="0"/>
          <w:sz w:val="32"/>
          <w:szCs w:val="32"/>
          <w:lang w:eastAsia="zh-CN"/>
        </w:rPr>
        <w:t>科室</w:t>
      </w:r>
      <w:r>
        <w:rPr>
          <w:rFonts w:ascii="仿宋_GB2312" w:eastAsia="仿宋_GB2312"/>
          <w:b w:val="0"/>
          <w:sz w:val="32"/>
          <w:szCs w:val="32"/>
        </w:rPr>
        <w:t>，分别是：办公室、汉编部、维编部、哈编部、新闻部、发行部、广告部、通联部、财务部。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2024年度收入总计919.73万元，其中：本年收入合计902.97万元，使用非财政拨款结余（含专用结余）0.00万元，年初结转和结余16.77万元。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2024年度支出总计919.73万元，其中：本年支出合计886.54万元，结余分配8.23万元，年末结转和结余24.96万元。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收入支出总体与上年相比，增加28.39万元，增长3.19%，主要原因是：报纸发行收入、广告收入</w:t>
      </w:r>
      <w:r>
        <w:rPr>
          <w:rFonts w:hint="eastAsia" w:ascii="仿宋_GB2312" w:eastAsia="仿宋_GB2312"/>
          <w:b w:val="0"/>
          <w:sz w:val="32"/>
          <w:szCs w:val="32"/>
          <w:lang w:eastAsia="zh-CN"/>
        </w:rPr>
        <w:t>和</w:t>
      </w:r>
      <w:r>
        <w:rPr>
          <w:rFonts w:ascii="仿宋_GB2312" w:eastAsia="仿宋_GB2312"/>
          <w:b w:val="0"/>
          <w:sz w:val="32"/>
          <w:szCs w:val="32"/>
        </w:rPr>
        <w:t>事业收入</w:t>
      </w:r>
      <w:r>
        <w:rPr>
          <w:rFonts w:hint="eastAsia" w:ascii="仿宋_GB2312" w:eastAsia="仿宋_GB2312"/>
          <w:b w:val="0"/>
          <w:sz w:val="32"/>
          <w:szCs w:val="32"/>
          <w:lang w:eastAsia="zh-CN"/>
        </w:rPr>
        <w:t>等</w:t>
      </w:r>
      <w:r>
        <w:rPr>
          <w:rFonts w:ascii="仿宋_GB2312" w:eastAsia="仿宋_GB2312"/>
          <w:b w:val="0"/>
          <w:sz w:val="32"/>
          <w:szCs w:val="32"/>
        </w:rPr>
        <w:t>增加</w:t>
      </w:r>
      <w:r>
        <w:rPr>
          <w:rFonts w:hint="eastAsia" w:ascii="仿宋_GB2312" w:eastAsia="仿宋_GB2312"/>
          <w:b w:val="0"/>
          <w:sz w:val="32"/>
          <w:szCs w:val="32"/>
          <w:lang w:eastAsia="zh-CN"/>
        </w:rPr>
        <w:t>，</w:t>
      </w:r>
      <w:r>
        <w:rPr>
          <w:rFonts w:ascii="仿宋_GB2312" w:eastAsia="仿宋_GB2312"/>
          <w:b w:val="0"/>
          <w:sz w:val="32"/>
          <w:szCs w:val="32"/>
        </w:rPr>
        <w:t>业务费项目支出增加。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本年收入902.97万元，其中：财政拨款收入747.34万元,占82.76%；上级补助收入0.00万元,占0.00%；事业收入145.40万元，占16.10%；经营收入0.00万元,占0.00%；附属单位上缴收入0.00万元，占0.00%；其他收入10.23万元，占1.13%。</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本年支出886.54万元，其中：基本支出670.52万元，占75.63%；项目支出216.03万元，占24.37%；上缴上级支出0.00万元，占0.00%；经营支出0.00万元，占0.00%；对附属单位补助支出0.00万元，占0.00%。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2024年度财政拨款收入总计747.34万元，其中：年初财政拨款结转和结余0.00万元，本年财政拨款收入747.34万元。财政拨款支出总计747.34万元，其中：年末财政拨款结转和结余0.00万元，本年财政拨款支出747.34万元。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财政拨款收入支出总体与上年相比，增加24.60万元，增长3.40%，主要原因是：在职人员工资社保经费增加。与年初预算相比，年初预算数736.15万元，决算数747.34万元，预决算差异率1.52%，主要原因是</w:t>
      </w:r>
      <w:r>
        <w:rPr>
          <w:rFonts w:hint="eastAsia" w:ascii="仿宋_GB2312" w:eastAsia="仿宋_GB2312"/>
          <w:b w:val="0"/>
          <w:sz w:val="32"/>
          <w:szCs w:val="32"/>
          <w:lang w:eastAsia="zh-CN"/>
        </w:rPr>
        <w:t>：</w:t>
      </w:r>
      <w:r>
        <w:rPr>
          <w:rFonts w:ascii="仿宋_GB2312" w:eastAsia="仿宋_GB2312"/>
          <w:b w:val="0"/>
          <w:sz w:val="32"/>
          <w:szCs w:val="32"/>
        </w:rPr>
        <w:t>年中追加在职人员增资10.33万元，结对认亲交通费0.86万元。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747.34万元，占本年支出合计的84.30%。与上年相比，增加24.60万元，增长3.40%，主要原因是：在职人员工资社保经费增加。与年初预算相比，年初预算数736.15万元，决算数747.34万元，预决算差异率1.52%，主要原因是：年中追加在职人员增资10.33万元，结对认亲交通费0.86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科学技术支出（类）95.00万元，占12.71%。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文化旅游体育与传媒支出（类）652.34万元，占87.29%。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科技条件与服务（款）科技条件专项（项）：支出决算数为95.00万元，比上年决算增加95.00万元，增长100.00%，主要原因是：本年印刷费项目原使用功能科目其他科技条件与服务支出变更为科技条件专项</w:t>
      </w:r>
      <w:r>
        <w:rPr>
          <w:rFonts w:hint="eastAsia" w:ascii="仿宋_GB2312" w:eastAsia="仿宋_GB2312"/>
          <w:b w:val="0"/>
          <w:sz w:val="32"/>
          <w:szCs w:val="32"/>
          <w:lang w:eastAsia="zh-CN"/>
        </w:rPr>
        <w:t>，</w:t>
      </w:r>
      <w:r>
        <w:rPr>
          <w:rFonts w:ascii="仿宋_GB2312" w:eastAsia="仿宋_GB2312"/>
          <w:b w:val="0"/>
          <w:sz w:val="32"/>
          <w:szCs w:val="32"/>
        </w:rPr>
        <w:t>科技条件专项</w:t>
      </w:r>
      <w:r>
        <w:rPr>
          <w:rFonts w:hint="eastAsia" w:ascii="仿宋_GB2312" w:eastAsia="仿宋_GB2312"/>
          <w:b w:val="0"/>
          <w:sz w:val="32"/>
          <w:szCs w:val="32"/>
          <w:lang w:eastAsia="zh-CN"/>
        </w:rPr>
        <w:t>支出增加</w:t>
      </w:r>
      <w:r>
        <w:rPr>
          <w:rFonts w:ascii="仿宋_GB2312" w:eastAsia="仿宋_GB2312"/>
          <w:b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科技条件与服务（款）其他科技条件与服务支出（项）：支出决算数为0.00万元，比上年决算减少95.00万元，下降100.00%，主要原因是：本年印刷费项目原使用功能科目其他科技条件与服务支出变更为科技条件专项</w:t>
      </w:r>
      <w:r>
        <w:rPr>
          <w:rFonts w:hint="eastAsia" w:ascii="仿宋_GB2312" w:eastAsia="仿宋_GB2312"/>
          <w:b w:val="0"/>
          <w:sz w:val="32"/>
          <w:szCs w:val="32"/>
          <w:lang w:eastAsia="zh-CN"/>
        </w:rPr>
        <w:t>，</w:t>
      </w:r>
      <w:r>
        <w:rPr>
          <w:rFonts w:ascii="仿宋_GB2312" w:eastAsia="仿宋_GB2312"/>
          <w:b w:val="0"/>
          <w:sz w:val="32"/>
          <w:szCs w:val="32"/>
        </w:rPr>
        <w:t>其他科技条件与服务支出</w:t>
      </w:r>
      <w:r>
        <w:rPr>
          <w:rFonts w:hint="eastAsia" w:ascii="仿宋_GB2312" w:eastAsia="仿宋_GB2312"/>
          <w:b w:val="0"/>
          <w:sz w:val="32"/>
          <w:szCs w:val="32"/>
          <w:lang w:eastAsia="zh-CN"/>
        </w:rPr>
        <w:t>减少</w:t>
      </w:r>
      <w:r>
        <w:rPr>
          <w:rFonts w:ascii="仿宋_GB2312" w:eastAsia="仿宋_GB2312"/>
          <w:b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文化旅游体育与传媒支出（类）新闻出版电影（款）出版发行（项）：支出决算数为652.34万元，比上年决算增加25.86万元，增长4.13%，主要原因是：在职人员工资社保经费</w:t>
      </w:r>
      <w:r>
        <w:rPr>
          <w:rFonts w:hint="eastAsia" w:ascii="仿宋_GB2312" w:eastAsia="仿宋_GB2312"/>
          <w:b w:val="0"/>
          <w:sz w:val="32"/>
          <w:szCs w:val="32"/>
          <w:lang w:eastAsia="zh-CN"/>
        </w:rPr>
        <w:t>支出</w:t>
      </w:r>
      <w:r>
        <w:rPr>
          <w:rFonts w:ascii="仿宋_GB2312" w:eastAsia="仿宋_GB2312"/>
          <w:b w:val="0"/>
          <w:sz w:val="32"/>
          <w:szCs w:val="32"/>
        </w:rPr>
        <w:t>增加。</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0.00万元，比上年决算减少1.26万元，下降100.00%，主要原因是：退休人员公用经费原使用功能科目事业单位离退休变更为出版发行</w:t>
      </w:r>
      <w:r>
        <w:rPr>
          <w:rFonts w:hint="eastAsia" w:ascii="仿宋_GB2312" w:eastAsia="仿宋_GB2312"/>
          <w:b w:val="0"/>
          <w:sz w:val="32"/>
          <w:szCs w:val="32"/>
          <w:lang w:eastAsia="zh-CN"/>
        </w:rPr>
        <w:t>，</w:t>
      </w:r>
      <w:r>
        <w:rPr>
          <w:rFonts w:ascii="仿宋_GB2312" w:eastAsia="仿宋_GB2312"/>
          <w:b w:val="0"/>
          <w:sz w:val="32"/>
          <w:szCs w:val="32"/>
        </w:rPr>
        <w:t>事业单位离退休</w:t>
      </w:r>
      <w:r>
        <w:rPr>
          <w:rFonts w:hint="eastAsia" w:ascii="仿宋_GB2312" w:eastAsia="仿宋_GB2312"/>
          <w:b w:val="0"/>
          <w:sz w:val="32"/>
          <w:szCs w:val="32"/>
          <w:lang w:eastAsia="zh-CN"/>
        </w:rPr>
        <w:t>支出减少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652.34万元，其中：人员经费610.03万元，包括：基本工资、津贴补贴、奖金、绩效工资、机关事业单位基本养老保险缴费、职业年金缴费、职工基本医疗保险缴费、公务员医疗补助缴费、其他社会保障缴费、住房公积金、退休费、生活补助、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公用经费42.31万元，包括：办公费、水费、电费、邮电费、取暖费、物业管理费、差旅费、维修（护）费、工会经费、福利费、公务用车运行维护费和其他商品和服务支出。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2024年度财政拨款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经费支出1.70万元，比上年减少0.00万元，下降0.00%，主要原因是：</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w:t>
      </w:r>
      <w:r>
        <w:rPr>
          <w:rFonts w:hint="eastAsia" w:ascii="仿宋_GB2312" w:eastAsia="仿宋_GB2312"/>
          <w:b w:val="0"/>
          <w:sz w:val="32"/>
          <w:szCs w:val="32"/>
          <w:lang w:eastAsia="zh-CN"/>
        </w:rPr>
        <w:t>和上年一致，增减无变化</w:t>
      </w:r>
      <w:r>
        <w:rPr>
          <w:rFonts w:ascii="仿宋_GB2312" w:eastAsia="仿宋_GB2312"/>
          <w:b w:val="0"/>
          <w:sz w:val="32"/>
          <w:szCs w:val="32"/>
        </w:rPr>
        <w:t>。其中：因公出国（境）费支出0.00万元,占0.00%，与上年相比无变化，主要原因是：我单位</w:t>
      </w:r>
      <w:r>
        <w:rPr>
          <w:rFonts w:hint="eastAsia" w:ascii="仿宋_GB2312" w:eastAsia="仿宋_GB2312"/>
          <w:b w:val="0"/>
          <w:sz w:val="32"/>
          <w:szCs w:val="32"/>
          <w:lang w:eastAsia="zh-CN"/>
        </w:rPr>
        <w:t>2023年度与2024年度均未安排</w:t>
      </w:r>
      <w:r>
        <w:rPr>
          <w:rFonts w:ascii="仿宋_GB2312" w:eastAsia="仿宋_GB2312"/>
          <w:b w:val="0"/>
          <w:sz w:val="32"/>
          <w:szCs w:val="32"/>
        </w:rPr>
        <w:t>因公出国（境）费；公务用车购置及运行维护费支出1.70万元，占100.00%，比上年减少0.00万元，下降0.00%，主要原因是：</w:t>
      </w:r>
      <w:r>
        <w:rPr>
          <w:rFonts w:hint="eastAsia" w:ascii="仿宋_GB2312" w:eastAsia="仿宋_GB2312"/>
          <w:b w:val="0"/>
          <w:sz w:val="32"/>
          <w:szCs w:val="32"/>
          <w:lang w:eastAsia="zh-CN"/>
        </w:rPr>
        <w:t>公务用车运行费用本年和上年一致，增减无变化</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我单位2023年度与2024年度均未安排公务接待费</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1.70万元，其中：公务用车购置费0.00万元，公务用车运行维护费1.70万元。公务用车运行维护费开支内容包括燃油费、维修保养费、车辆保险费。公务用车购置数0辆，公务用车保有量2辆。国有资产占用情况中固定资产车辆2辆，与公务用车保有量差异原因是：我单位公务用车保有量与国有资产占用情况中固定资产车辆数量一致，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经费支出全年预算数1.70万元，决算数1.70万元，预决算差异率0.00%，主要原因是：严格控制</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严格按预算执行。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1.70万元，决算数1.70万元，预决算差异率0.00%，主要原因是：严格控制公务用车运行经费支出，公务用车运行经费严格按预算执行。公务接待费全年预算数0.00万元，决算数0.00万元，预决算差异率0.00%，主要原因是：我单位无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2024年度新疆科技报社</w:t>
      </w:r>
      <w:r>
        <w:rPr>
          <w:rFonts w:hint="eastAsia" w:ascii="仿宋_GB2312" w:eastAsia="仿宋_GB2312"/>
          <w:b w:val="0"/>
          <w:sz w:val="32"/>
          <w:szCs w:val="32"/>
          <w:lang w:val="en-US" w:eastAsia="zh-CN"/>
        </w:rPr>
        <w:t>（事业单位</w:t>
      </w:r>
      <w:bookmarkStart w:id="0" w:name="_GoBack"/>
      <w:bookmarkEnd w:id="0"/>
      <w:r>
        <w:rPr>
          <w:rFonts w:hint="eastAsia" w:ascii="仿宋_GB2312" w:eastAsia="仿宋_GB2312"/>
          <w:b w:val="0"/>
          <w:sz w:val="32"/>
          <w:szCs w:val="32"/>
          <w:lang w:val="en-US" w:eastAsia="zh-CN"/>
        </w:rPr>
        <w:t>）</w:t>
      </w:r>
      <w:r>
        <w:rPr>
          <w:rFonts w:ascii="仿宋_GB2312" w:eastAsia="仿宋_GB2312"/>
          <w:b w:val="0"/>
          <w:sz w:val="32"/>
          <w:szCs w:val="32"/>
        </w:rPr>
        <w:t>公用经费支出42.31万元，比上年减少0.69万元，下降1.60%，主要原因是：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年度退休</w:t>
      </w:r>
      <w:r>
        <w:rPr>
          <w:rFonts w:hint="default" w:ascii="仿宋_GB2312" w:eastAsia="仿宋_GB2312"/>
          <w:b w:val="0"/>
          <w:sz w:val="32"/>
          <w:szCs w:val="32"/>
          <w:lang w:val="en-US" w:eastAsia="zh-CN"/>
        </w:rPr>
        <w:t>1</w:t>
      </w:r>
      <w:r>
        <w:rPr>
          <w:rFonts w:hint="eastAsia" w:ascii="仿宋_GB2312" w:eastAsia="仿宋_GB2312"/>
          <w:b w:val="0"/>
          <w:sz w:val="32"/>
          <w:szCs w:val="32"/>
          <w:lang w:val="en-US" w:eastAsia="zh-CN"/>
        </w:rPr>
        <w:t>人，相应公用经费支出减少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2024年度政府采购支出总额94.44万元，其中：政府采购货物支出23.15万元、政府采购工程支出0.00万元、政府采购服务支出71.29万元。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授予中小企业合同金额70.91万元，占政府采购支出总额的75.08%，其中：授予小微企业合同金额70.91万元，占政府采购支出总额的75.08%。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1,265.00平方米，价值49.60万元。车辆2辆，价值39.75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3个，全年预算数237.00万元，全年执行数216.03万元，预算绩效管理取得的成效：一是保质保量完成了2024年《新疆科技报》汉文、维文、哈文三种文版的印刷；二是及时准确的宣传党的方针政策；三是普及科学技术知识，推广先进技术，使农民在认识和学习先进技术的过程中，通过潜移默化，而受到科学文明生产氛围和科学文明社会环境的陶冶，进而提高自身的科学文化素质，使农牧民实现科技致富，助力实施乡村振兴战略；发现的问题及原因：一是近些年伴随互联网技术的发展及移动终端的普及，信息传播渠道更加快速和多元，在新媒体的冲击下，传统的报纸竞争优势下降；二是报纸针对的群体主要是农牧民，公益性强，经营创收能力较差；下一步改进措施：一是加快报网融合，不断加强融媒体平台建设，提高信息传播时效性，提升报纸的影响力和竞争力;二是重视栏目策划，保住传统报纸系列报道的优势，为报纸行业发展赢得更大的发展空间。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C300E1D"/>
    <w:rsid w:val="13D81DC7"/>
    <w:rsid w:val="33EE7E73"/>
    <w:rsid w:val="3E953B97"/>
    <w:rsid w:val="3FAB4D97"/>
    <w:rsid w:val="44BF2CE3"/>
    <w:rsid w:val="54901A26"/>
    <w:rsid w:val="76863F4A"/>
    <w:rsid w:val="78320EC2"/>
    <w:rsid w:val="7ACB4481"/>
    <w:rsid w:val="7BE426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5167</Words>
  <Characters>5711</Characters>
  <TotalTime>1</TotalTime>
  <ScaleCrop>false</ScaleCrop>
  <LinksUpToDate>false</LinksUpToDate>
  <CharactersWithSpaces>5711</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2025-08-14T03:59:00Z</dcterms:created>
  <dc:creator>Administrator</dc:creator>
  <cp:lastModifiedBy>Administrator</cp:lastModifiedBy>
  <dcterms:modified xsi:type="dcterms:W3CDTF">2025-08-25T10:45:32Z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KSOTemplateDocerSaveRecord">
    <vt:lpwstr>eyJoZGlkIjoiNWRjMmFjNjM2MzNmODM5NjNlNDBhNDNiYmZkNTQ1N2IiLCJ1c2VySWQiOiIxNzAyNTA3NzcyIn0=</vt:lpwstr>
  </property>
  <property fmtid="{D5CDD505-2E9C-101B-9397-08002B2CF9AE}" pid="4" name="ICV">
    <vt:lpwstr>48D613E0A6D64BF6B089751592D287F8_12</vt:lpwstr>
  </property>
</Properties>
</file>