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新疆维吾尔自治区科技资源共享服务中心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单位的主要任务是开展分析测试技术服务、分析测试技术与方法研究、特色资源的开发利用研究、新产品的技术开发、分析测试行业学术交流活动、分析测试人员培训和资格认定工作、自治区科学仪器设备协作共用网业务管理、分析测试仪器设备的安装调试等。</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新疆维吾尔自治区科技资源共享服务中心2024年度，实有人数62人，其中：在职人员34人，减少2人；离休人员0人，较上年无变化；退休人员28人，增加2人。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新疆维吾尔自治区科技资源共享服务中心无下属预算单位，下设8个科室，分别是：办公室、财务人事部、色谱所、光谱所、业务质管部、天然产物研究所、采样室、大型仪器协作共用网管理办公室。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2024年度收入总计6,425.23万元，其中：本年收入合计6,212.73万元，使用非财政拨款结余（含专用结余）0.00万元，年初结转和结余212.50万元。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2024年度支出总计6,425.23万元，其中：本年支出合计3,835.30万元，结余分配2,088.75万元，年末结转和结余501.17万元。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收入支出总体与上年相比，增加3,010.78万元，增长88.18%，主要原因是：本年承接全国第三次土壤检测任务，检验检测技术服务收入、科技项目收入以及横向拨款收入较上年有所增加。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6,212.73万元，其中：财政拨款收入1,462.10万元,占23.53%；上级补助收入0.00万元,占0.00%；事业收入4,181.46万元，占67.30%；经营收入0.00万元,占0.00%；附属单位上缴收入0.00万元，占0.00%；其他收入569.17万元，占9.16%。</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本年支出3,835.30万元，其中：基本支出857.49万元，占22.36%；项目支出2,977.81万元，占77.64%；上缴上级支出0.00万元，占0.00%；经营支出0.00万元，占0.00%；对附属单位补助支出0.00万元，占0.00%。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1,462.10万元，其中：年初财政拨款结转和结余0.00万元，本年财政拨款收入1,462.10万元。财政拨款支出总计1,462.10万元，其中：年末财政拨款结转和结余0.00万元，本年财政拨款支出1,462.10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35.82万元，增长2.51%，主要原因是：人员岗位职级的变化，以及本年财政拨款项目较上年有所增加。与年初预算相比，年初预算数1,317.16万元，决算数1,462.10万元，预决算差异率11.00%，主要原因是：</w:t>
      </w:r>
      <w:r>
        <w:rPr>
          <w:rFonts w:hint="eastAsia" w:ascii="仿宋_GB2312" w:eastAsia="仿宋_GB2312"/>
          <w:b w:val="0"/>
          <w:sz w:val="32"/>
          <w:szCs w:val="32"/>
          <w:lang w:val="en-US" w:eastAsia="zh-CN"/>
        </w:rPr>
        <w:t>一是</w:t>
      </w:r>
      <w:r>
        <w:rPr>
          <w:rFonts w:ascii="仿宋_GB2312" w:eastAsia="仿宋_GB2312"/>
          <w:b w:val="0"/>
          <w:sz w:val="32"/>
          <w:szCs w:val="32"/>
        </w:rPr>
        <w:t>本年财政拨款项目经费增加。</w:t>
      </w:r>
      <w:r>
        <w:rPr>
          <w:rFonts w:hint="eastAsia" w:ascii="仿宋_GB2312" w:eastAsia="仿宋_GB2312"/>
          <w:b w:val="0"/>
          <w:sz w:val="32"/>
          <w:szCs w:val="32"/>
          <w:lang w:val="en-US" w:eastAsia="zh-CN"/>
        </w:rPr>
        <w:t>二是</w:t>
      </w:r>
      <w:r>
        <w:rPr>
          <w:rFonts w:ascii="仿宋_GB2312" w:eastAsia="仿宋_GB2312"/>
          <w:b w:val="0"/>
          <w:sz w:val="32"/>
          <w:szCs w:val="32"/>
        </w:rPr>
        <w:t>政策性因素造成人员经费有所增加。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2024年度一般公共预算财政拨款支出1,462.10万元，占本年支出合计的38.12%。与上年相比，增加35.82万元，增长2.51%，主要原因是：</w:t>
      </w:r>
      <w:r>
        <w:rPr>
          <w:rFonts w:hint="eastAsia" w:ascii="仿宋_GB2312" w:eastAsia="仿宋_GB2312"/>
          <w:b w:val="0"/>
          <w:sz w:val="32"/>
          <w:szCs w:val="32"/>
          <w:lang w:val="en-US" w:eastAsia="zh-CN"/>
        </w:rPr>
        <w:t>一是基本支出中人员经费受政策性增资等因素经费有所增长</w:t>
      </w:r>
      <w:r>
        <w:rPr>
          <w:rFonts w:ascii="仿宋_GB2312" w:eastAsia="仿宋_GB2312"/>
          <w:b w:val="0"/>
          <w:sz w:val="32"/>
          <w:szCs w:val="32"/>
        </w:rPr>
        <w:t>，</w:t>
      </w:r>
      <w:r>
        <w:rPr>
          <w:rFonts w:hint="eastAsia" w:ascii="仿宋_GB2312" w:eastAsia="仿宋_GB2312"/>
          <w:b w:val="0"/>
          <w:sz w:val="32"/>
          <w:szCs w:val="32"/>
          <w:lang w:val="en-US" w:eastAsia="zh-CN"/>
        </w:rPr>
        <w:t>二是</w:t>
      </w:r>
      <w:r>
        <w:rPr>
          <w:rFonts w:ascii="仿宋_GB2312" w:eastAsia="仿宋_GB2312"/>
          <w:b w:val="0"/>
          <w:sz w:val="32"/>
          <w:szCs w:val="32"/>
        </w:rPr>
        <w:t>本年</w:t>
      </w:r>
      <w:r>
        <w:rPr>
          <w:rFonts w:hint="eastAsia" w:ascii="仿宋_GB2312" w:eastAsia="仿宋_GB2312"/>
          <w:b w:val="0"/>
          <w:sz w:val="32"/>
          <w:szCs w:val="32"/>
          <w:lang w:val="en-US" w:eastAsia="zh-CN"/>
        </w:rPr>
        <w:t>申请</w:t>
      </w:r>
      <w:r>
        <w:rPr>
          <w:rFonts w:ascii="仿宋_GB2312" w:eastAsia="仿宋_GB2312"/>
          <w:b w:val="0"/>
          <w:sz w:val="32"/>
          <w:szCs w:val="32"/>
        </w:rPr>
        <w:t>财政拨款项目较上年有所增加。与年初预算相比，年初预算数1,317.16万元，决算数1,462.10万元，预决算差异率11.00%，主要原因是：</w:t>
      </w:r>
      <w:r>
        <w:rPr>
          <w:rFonts w:hint="eastAsia" w:ascii="仿宋_GB2312" w:eastAsia="仿宋_GB2312"/>
          <w:b w:val="0"/>
          <w:sz w:val="32"/>
          <w:szCs w:val="32"/>
          <w:lang w:val="en-US" w:eastAsia="zh-CN"/>
        </w:rPr>
        <w:t>一是</w:t>
      </w:r>
      <w:r>
        <w:rPr>
          <w:rFonts w:ascii="仿宋_GB2312" w:eastAsia="仿宋_GB2312"/>
          <w:b w:val="0"/>
          <w:sz w:val="32"/>
          <w:szCs w:val="32"/>
        </w:rPr>
        <w:t>本年财政拨款项目经费增加。</w:t>
      </w:r>
      <w:r>
        <w:rPr>
          <w:rFonts w:hint="eastAsia" w:ascii="仿宋_GB2312" w:eastAsia="仿宋_GB2312"/>
          <w:b w:val="0"/>
          <w:sz w:val="32"/>
          <w:szCs w:val="32"/>
          <w:lang w:val="en-US" w:eastAsia="zh-CN"/>
        </w:rPr>
        <w:t>二是</w:t>
      </w:r>
      <w:r>
        <w:rPr>
          <w:rFonts w:ascii="仿宋_GB2312" w:eastAsia="仿宋_GB2312"/>
          <w:b w:val="0"/>
          <w:sz w:val="32"/>
          <w:szCs w:val="32"/>
        </w:rPr>
        <w:t>政策性因素造成人员经费有所增加。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科学技术支出（类）952.10万元，占65.12%。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社会保障和就业支出（类）10.00万元，占0.68%。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农林水支出（类）500.00万元，占34.20%。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科学技术支出（类）基础研究（款）科技人才队伍建设（项）：支出决算数为80.00万元，比上年决算增加80.00万元，增长100.00%，主要原因是：2024年度新增两个天山英才计划项目。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科学技术支出（类）应用研究（款）机构运行（项）：支出决算数为772.10万元，比上年决算减少32.78万元，下降4.07%，主要原因是：单位2024年较2023年在职人员减少2人，造成人员经费相对减少。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应用研究（款）社会公益研究（项）：支出决算数为100.00万元，比上年决算减少1.40万元，下降1.38%，主要原因是：2023年结转了2022年1.40万元项目经费，在2023年已全部支出完毕，2024年未有结转资金产生。</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科学技术支出（类）其他科学技术支出（款）其他科学技术支出（项）：支出决算数为0.00万元，比上年决算减少210.00万元，下降100.00%，主要原因是：2023年项目为去年新增项目，本年未有此项目产生。</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人力资源和社会保障管理事务（款）其他人力资源和社会保障管理事务支出（项）：支出决算数为10.00万元，比上年决算增加10.00万元，增长100.00%，主要原因是：该项目为2024年新增项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农林水支出（类）农业农村（款）科技转化与推广服务（项）：支出决算数为40.00万元，比上年决算增加40.00万元，增长100.00%，主要原因是：该项目为2024年新增项目。</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农产品质量安全（项）：支出决算数为460.00万元，比上年决算增加460.00万元，增长100.00%，主要原因是：2023年该项目在农业生产发展（项）中，2024年项目在农产品质量安全（项）中体现，本年例行监测的县市增加，相应检测任务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农业生产发展（项）：支出决算数为0.00万元，比上年决算减少310.00万元，下降100.00%，主要原因是：2023年该项目在农业生产发展（项）中，2024年项目在农产品质量安全（项）中体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772.10万元，其中：人员经费713.76万元，包括：基本工资、津贴补贴、奖金、绩效工资、机关事业单位基本养老保险缴费、职业年金缴费、职工基本医疗保险缴费、公务员医疗补助缴费、其他社会保障缴费、住房公积金、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公用经费58.34万元，包括：办公费、水费、电费、邮电费、取暖费、物业管理费、差旅费、工会经费、福利费、公务用车运行维护费、其他交通费用和其他商品和服务支出。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0.94万元，与上年相比无变化，主要原因是：2024年单位延续2023年工作任务，“三公“经费支出与上年保持一致。其中：因公出国（境）费支出0.00万元,占0.00%，与上年相比无变化，主要原因是：单位2023年、2024年均未安排因公出国（境）费预算；公务用车购置及运行维护费支出0.94万元，占100.00%，与上年相比无变化，主要原因是：单位2023年、2024年均未安排公务用车购置费预算，单位2024年延续2023年工作任务，公务用车运行维护费与上年保持一致；公务接待费支出0.00万元，占0.00%，与上年相比无变化，主要原因是：单位2023年、2024年均未安排公务接待费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0.94万元，其中：公务用车购置费0.00万元，公务用车运行维护费0.94万元。公务用车运行维护费开支内容包括一般公务用车车辆保险及燃油费用。公务用车购置数0辆，公务用车保有量3辆。国有资产占用情况中固定资产车辆3辆，与公务用车保有量差异原因是：国有资产占用情况中固定资产车辆数与单位公务用车保有量保持一致。</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0.94万元，决算数0.94万元，预决算差异率0.00%，主要原因是：单位严格执行“三公”经费政策，2024年延续2023年工作任务，“三公”经费支出与上年保持一致。其中：因公出国（境）费全年预算数0.00万元，决算数0.00万元，预决算差异率0.00%，主要原因是：单位2023年、2024年均未安排因公出国（境）费预算。公务用车购置费全年预算数0.00万元，决算数0.00万元，预决算差异率0.00%，主要原因是：单位2023年、2024年均未安排公务用车购置费预算。公务用车运行维护费全年预算数0.94万元，决算数0.94万元，预决算差异率0.00%，主要原因是：2024年延续2023年工作任务，公务用车运行维护费保持与上年一致。公务接待费全年预算数0.00万元，决算数0.00万元，预决算差异率0.00%，主要原因是：单位2023年、2024年均未安排公务接待费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2024年度新疆维吾尔自治区科技资源共享服务中心</w:t>
      </w:r>
      <w:r>
        <w:rPr>
          <w:rFonts w:hint="eastAsia" w:ascii="仿宋_GB2312" w:eastAsia="仿宋_GB2312"/>
          <w:b w:val="0"/>
          <w:sz w:val="32"/>
          <w:szCs w:val="32"/>
          <w:lang w:eastAsia="zh-CN"/>
        </w:rPr>
        <w:t>（事业单位</w:t>
      </w:r>
      <w:bookmarkStart w:id="0" w:name="_GoBack"/>
      <w:bookmarkEnd w:id="0"/>
      <w:r>
        <w:rPr>
          <w:rFonts w:hint="eastAsia" w:ascii="仿宋_GB2312" w:eastAsia="仿宋_GB2312"/>
          <w:b w:val="0"/>
          <w:sz w:val="32"/>
          <w:szCs w:val="32"/>
          <w:lang w:eastAsia="zh-CN"/>
        </w:rPr>
        <w:t>）</w:t>
      </w:r>
      <w:r>
        <w:rPr>
          <w:rFonts w:ascii="仿宋_GB2312" w:eastAsia="仿宋_GB2312"/>
          <w:b w:val="0"/>
          <w:sz w:val="32"/>
          <w:szCs w:val="32"/>
        </w:rPr>
        <w:t>公用经费支出58.34万元，比上年增加3.30万元，增长6.00%，主要原因是：</w:t>
      </w:r>
      <w:r>
        <w:rPr>
          <w:rFonts w:hint="eastAsia" w:ascii="仿宋_GB2312" w:eastAsia="仿宋_GB2312"/>
          <w:b w:val="0"/>
          <w:sz w:val="32"/>
          <w:szCs w:val="32"/>
          <w:lang w:val="en-US" w:eastAsia="zh-CN"/>
        </w:rPr>
        <w:t>本年度部分</w:t>
      </w:r>
      <w:r>
        <w:rPr>
          <w:rFonts w:ascii="仿宋_GB2312" w:eastAsia="仿宋_GB2312"/>
          <w:b w:val="0"/>
          <w:sz w:val="32"/>
          <w:szCs w:val="32"/>
        </w:rPr>
        <w:t>人员岗位级别变动造成公用经费有一定增长。</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2024年度政府采购支出总额493.45万元，其中：政府采购货物支出224.76万元、政府采购工程支出0.00万元、政府采购服务支出268.69万元。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授予中小企业合同金额492.52万元，占政府采购支出总额的99.81%，其中：授予小微企业合同金额492.52万元，占政府采购支出总额的99.81%。</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3,255.00平方米，价值258.79万元。车辆3辆，价值74.83万元，其中：副部（省）级及以上领导用车0辆、主要负责人用车0辆、机要通信用车0辆、应急保障用车0辆、执法执勤用车0辆、特种专业技术用车0辆、离退休干部服务用车0辆、其他用车3辆，其他用车主要是：我单位检测业务采样用车;单价100万元（含）以上设备（不含车辆）13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2,500.00万元，实际执行总额2,500.00万元；预算绩效评价项目3个，全年预算数2,610.00万元，全年执行数2,610.00万元。预算绩效管理取得的成效：一是弥补了单位科研业务费、日常运行经费的不足，紧紧围绕自治区政策，扎实做好食品、农产品、职业卫生等领域检测技术服务任务等工作；二是推动我区科学仪器协作共用，解决我区科技条件基础薄弱、利用率低、资源分散、条块分割、重复建设、服务相对落后等问题、提高科学仪器设备利用率、实现科学仪器资源共享、加速我区创新体系建设；三是成功举办特色功能食品高质量发展研修班，加快了专业技术人才的知识更新，规范并加强了新疆特色功能食品体系建设。发现的问题及原因：一是我区还有很多符合条件的仪器设备没有整合到平台中来，主要由于这些仪器设备分布在多个部门下的单位中，协作网平台本身是公益性平台，无法统一协调，仪器设备数量及相关信息都无法准确掌握，平台作用发挥率低；二是部分制度不能适应现在的工作，考核评价制度等还不够完善，有些机制有缺失，计划逐步进行新增；三是在研修班的举办上可以提升组织协调能力，让计划更顺利的完成。下一步改进措施：一是继续跟进各部门计划的修订工作；二是依据产业发展所处阶段及产业创新能力现状，通过联盟的组建可以将仪器设备进行新的整合，从而提升行业发展后劲。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1E5A7593"/>
    <w:rsid w:val="5DE77435"/>
    <w:rsid w:val="6E9315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2025-08-22T03:52:00Z</dcterms:created>
  <dc:creator>Administrator</dc:creator>
  <cp:lastModifiedBy>Administrator</cp:lastModifiedBy>
  <dcterms:modified xsi:type="dcterms:W3CDTF">2025-08-25T10:42:36Z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E96FBA058285455F87D3748D3644FAA8</vt:lpwstr>
  </property>
</Properties>
</file>