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黑体" w:hAnsi="黑体" w:eastAsia="黑体" w:cs="黑体"/>
          <w:b w:val="0"/>
          <w:bCs/>
          <w:kern w:val="0"/>
          <w:sz w:val="44"/>
          <w:szCs w:val="44"/>
        </w:rPr>
      </w:pPr>
      <w:r>
        <w:rPr>
          <w:rFonts w:hint="eastAsia" w:ascii="黑体" w:hAnsi="黑体" w:eastAsia="黑体" w:cs="黑体"/>
          <w:b w:val="0"/>
          <w:bCs/>
          <w:kern w:val="0"/>
          <w:sz w:val="44"/>
          <w:szCs w:val="44"/>
        </w:rPr>
        <w:t>自治区财政项目支出绩效自评报告</w:t>
      </w:r>
    </w:p>
    <w:p>
      <w:pPr>
        <w:spacing w:line="540" w:lineRule="exact"/>
        <w:jc w:val="both"/>
        <w:rPr>
          <w:rFonts w:ascii="华文中宋" w:hAnsi="华文中宋" w:eastAsia="华文中宋" w:cs="宋体"/>
          <w:b/>
          <w:kern w:val="0"/>
          <w:sz w:val="52"/>
          <w:szCs w:val="52"/>
        </w:rPr>
      </w:pPr>
    </w:p>
    <w:p>
      <w:pPr>
        <w:spacing w:line="540" w:lineRule="exact"/>
        <w:ind w:firstLine="567"/>
        <w:jc w:val="center"/>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2024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00" w:firstLineChars="250"/>
        <w:jc w:val="left"/>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kern w:val="0"/>
          <w:sz w:val="32"/>
          <w:szCs w:val="32"/>
        </w:rPr>
        <w:t>项目名称：</w:t>
      </w:r>
      <w:r>
        <w:rPr>
          <w:rStyle w:val="18"/>
          <w:rFonts w:hint="eastAsia" w:ascii="仿宋_GB2312" w:hAnsi="仿宋_GB2312" w:eastAsia="仿宋_GB2312" w:cs="仿宋_GB2312"/>
          <w:b w:val="0"/>
          <w:bCs w:val="0"/>
          <w:spacing w:val="-4"/>
          <w:sz w:val="32"/>
          <w:szCs w:val="32"/>
        </w:rPr>
        <w:t>科研活动业务费</w:t>
      </w:r>
    </w:p>
    <w:p>
      <w:pPr>
        <w:spacing w:line="540" w:lineRule="exact"/>
        <w:ind w:firstLine="567"/>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 xml:space="preserve">  实施单位（公章）：</w:t>
      </w:r>
      <w:r>
        <w:rPr>
          <w:rStyle w:val="18"/>
          <w:rFonts w:hint="eastAsia" w:ascii="仿宋_GB2312" w:hAnsi="仿宋_GB2312" w:eastAsia="仿宋_GB2312" w:cs="仿宋_GB2312"/>
          <w:b w:val="0"/>
          <w:bCs w:val="0"/>
          <w:spacing w:val="-4"/>
          <w:sz w:val="32"/>
          <w:szCs w:val="32"/>
        </w:rPr>
        <w:t>新疆维吾尔自治区环境保护科学研究院</w:t>
      </w:r>
    </w:p>
    <w:p>
      <w:pPr>
        <w:spacing w:line="540" w:lineRule="exact"/>
        <w:ind w:firstLine="800" w:firstLineChars="250"/>
        <w:rPr>
          <w:rStyle w:val="18"/>
          <w:rFonts w:hint="eastAsia" w:ascii="仿宋_GB2312" w:hAnsi="仿宋_GB2312" w:eastAsia="仿宋_GB2312" w:cs="仿宋_GB2312"/>
          <w:b w:val="0"/>
          <w:bCs w:val="0"/>
          <w:spacing w:val="-4"/>
          <w:sz w:val="32"/>
          <w:szCs w:val="32"/>
          <w:lang w:eastAsia="zh-CN"/>
        </w:rPr>
      </w:pPr>
      <w:r>
        <w:rPr>
          <w:rFonts w:hint="eastAsia" w:ascii="仿宋_GB2312" w:hAnsi="仿宋_GB2312" w:eastAsia="仿宋_GB2312" w:cs="仿宋_GB2312"/>
          <w:b w:val="0"/>
          <w:bCs w:val="0"/>
          <w:kern w:val="0"/>
          <w:sz w:val="32"/>
          <w:szCs w:val="32"/>
        </w:rPr>
        <w:t>主管部门（公章）：</w:t>
      </w:r>
      <w:r>
        <w:rPr>
          <w:rStyle w:val="18"/>
          <w:rFonts w:hint="eastAsia" w:ascii="仿宋_GB2312" w:hAnsi="仿宋_GB2312" w:eastAsia="仿宋_GB2312" w:cs="仿宋_GB2312"/>
          <w:b w:val="0"/>
          <w:bCs w:val="0"/>
          <w:spacing w:val="-4"/>
          <w:sz w:val="32"/>
          <w:szCs w:val="32"/>
        </w:rPr>
        <w:t>新疆维吾尔自治区</w:t>
      </w:r>
      <w:r>
        <w:rPr>
          <w:rStyle w:val="18"/>
          <w:rFonts w:hint="eastAsia" w:ascii="仿宋_GB2312" w:hAnsi="仿宋_GB2312" w:eastAsia="仿宋_GB2312" w:cs="仿宋_GB2312"/>
          <w:b w:val="0"/>
          <w:bCs w:val="0"/>
          <w:spacing w:val="-4"/>
          <w:sz w:val="32"/>
          <w:szCs w:val="32"/>
          <w:lang w:eastAsia="zh-CN"/>
        </w:rPr>
        <w:t>科学技术厅</w:t>
      </w:r>
    </w:p>
    <w:p>
      <w:pPr>
        <w:spacing w:line="540" w:lineRule="exact"/>
        <w:ind w:firstLine="800" w:firstLineChars="250"/>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8"/>
          <w:rFonts w:hint="eastAsia" w:ascii="仿宋_GB2312" w:hAnsi="仿宋_GB2312" w:eastAsia="仿宋_GB2312" w:cs="仿宋_GB2312"/>
          <w:b w:val="0"/>
          <w:bCs w:val="0"/>
          <w:spacing w:val="-4"/>
          <w:sz w:val="32"/>
          <w:szCs w:val="32"/>
        </w:rPr>
        <w:t>李建</w:t>
      </w:r>
    </w:p>
    <w:p>
      <w:pPr>
        <w:spacing w:line="540" w:lineRule="exact"/>
        <w:ind w:left="273" w:firstLine="567"/>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8"/>
          <w:rFonts w:hint="eastAsia" w:ascii="仿宋_GB2312" w:hAnsi="仿宋_GB2312" w:eastAsia="仿宋_GB2312" w:cs="仿宋_GB2312"/>
          <w:b w:val="0"/>
          <w:bCs w:val="0"/>
          <w:spacing w:val="-4"/>
          <w:sz w:val="32"/>
          <w:szCs w:val="32"/>
        </w:rPr>
        <w:t>2025年03月20日</w:t>
      </w:r>
    </w:p>
    <w:p>
      <w:pPr>
        <w:spacing w:line="540" w:lineRule="exact"/>
        <w:ind w:firstLine="567"/>
        <w:rPr>
          <w:rStyle w:val="18"/>
          <w:rFonts w:hint="eastAsia" w:ascii="黑体" w:hAnsi="黑体" w:eastAsia="黑体"/>
          <w:b w:val="0"/>
          <w:spacing w:val="-4"/>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自治区环境保护科学研究院（以下简称“自治区环科院”）是自治区生态环境厅直属的公益二类事业单位，也是集环境基础与应用研究、污染治理及清洁生产技术研发与应用、环境规划与评估为一体的科研机构，在污染防治、环境监管、政策规划等多方面的生态环境保护专项工作中发挥着重要的科技支撑作用，并承担了多项生态环境保护科研项目，同时面向社会提供技术服务。作为差额预算单位，自治区环科院每年通过安排自有资金补足维持单位正常运行的资金缺口，并保障单位科研和业务活动的正常开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2024年，自治区环科院一般公共预算项目“科研业务活动费”安排自有资金2399万元，其中大型修缮费用1050万元，在职及退休人员基础绩效奖金和年终奖金400万元，办公费12万元，印刷费9万元，差旅费30万元，其他交通费用15万元，劳务费70万元，咨询费16万元，暖气费44万元，委托业务费95万元，水费7万元，电费17万元，设备购置费41万元，邮电费4万元，物业费60万元，培训费3万元，日常维修29万元，其他商服费用487万元。当年，自治区环科院实际使用此项目资金1356.49万元，总项目资金执行率56.54%，其中大型修缮费用1050万元因单位办公楼权属问题无法执行，除此之外的资金执行率为100.56%，与预算基本一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在“科研业务活动费”的支持下，自治区环科院高质量完成了生态环境厅安排的多个专项工作，在生态环境顶层规划、污染防治、生态保护、环境监管等方面发挥了重要的支撑作用；科研项目进展顺利，实施在研项目41项，向科技厅新申报立项19项，发表论文23篇，出版专著2部，授权发明专利3项，实用新型专利6项；重点实验室、准噶尔生态质量综合监测站等平台建设不断提升，单位职工绩效奖励机制初步建立，完成26人岗位等级晋升，新增7人获得高级以上工程师职称。“科研业务活动费”有效保障了单位2024年度工作计划的顺利完成和科研业务活动的正常开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的绩效目标为通过经费的合理支出，在办公设备采购、科研设备维护、补充性劳务支出、工作场所改造、工作场所的水电后勤服务、科研人员能力培养等方面提供有力支持，保障2024年度单位工作计划和科研业务活动的顺利完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除工作场所改造因单位办公楼权属问题无法开展外，其他绩效目标均顺利完成。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绩效评价的对象是自治区环科院2024年度通过自有资金安排的预算项目“科研业务活动费”，该项目的范围为自治区环科院通过财政拨款、科研项目资金和专项资金的规范合理支出无法覆盖的维持单位正常运行和科研业务活动顺利完成所必需的支出，包括办公设备采购、科研设备维护、补充性劳务支出、工作场所改造、工作场所的水电后勤服务、科研人员能力培养等方面。项目绩效评价的目的是充分了解和掌握项目实施的总体情况，衡量资金安排的科学性、合理性、规范性和有效性，及时总结项目管理经验，发现和解决项目实施中存在的问题，提高项目管理水平和资金的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中华人民共和国预算法实施条例》《项目支出绩效评价管理办法》（财预〔2020〕10号）等文件要求，本次绩效评价工作按照科学公正、统筹兼顾、激励约束、公开透明的原则，在确保真实性和准确性的前提下以单位自评的方式规范开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评价指标体系为年初单位自行制定并通过主管部门和财政部门审核确定的绩效指标体系，具体见附件。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评价方法为将项目实施情况和实施效果与绩效目标、历史情况等进行比较的比较法。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本项目的指标设置均适宜使用计划标准作为评价标准，具体是指以预先制定的目标、计划、预算、定额等作为评价标准，对比分析项目产出、效益的完成情况，通过公式计算具体得分。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楷体" w:hAnsi="楷体" w:eastAsia="楷体"/>
          <w:spacing w:val="-4"/>
          <w:sz w:val="32"/>
          <w:szCs w:val="32"/>
        </w:rPr>
      </w:pPr>
      <w:r>
        <w:rPr>
          <w:rStyle w:val="18"/>
          <w:rFonts w:hint="eastAsia" w:ascii="仿宋_GB2312" w:hAnsi="仿宋_GB2312" w:eastAsia="仿宋_GB2312" w:cs="仿宋_GB2312"/>
          <w:b w:val="0"/>
          <w:bCs w:val="0"/>
          <w:spacing w:val="-4"/>
          <w:sz w:val="32"/>
          <w:szCs w:val="32"/>
        </w:rPr>
        <w:t>由自治区环科院办公室安排专人负责，按照自治区财政厅绩效评价工作要求和预算绩效评价一体化管理系统相关规范，通过调取相关资料并核实相关数据，对项目总体绩效目标、各项绩效指标完成情况以及预算执行情况分别进行评价，并将绩效评价结果通过预算绩效一体化管理平台进行填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项目支出绩效评价管理办法》，绩效评价总分设置为100分，划分为四档：90（含）-100分为优，80（含）-90分为良，60（含）-80分为中，60分以下为差。经综合分析评价，该计划项目得分95.65分，绩效等级评定为“优”。该项目资金分配使用管理整体情况较优，支撑自治区环科院顺利实施了多项科研项目和专项工作，提升了平台建设和人才管理水平，有效保障了年度工作计划的顺利完成和科研业务活动的正常开展。具体得分率及评分情况见附件。</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 xml:space="preserve">四、绩效评价指标分析 </w:t>
      </w:r>
    </w:p>
    <w:p>
      <w:pPr>
        <w:spacing w:line="540" w:lineRule="exact"/>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此项未设指标。本项目预算的定位是辅助性、保障性资金，在决策方面的自由度不大，其中较大金额开支按相关规定经院党委会研究决定，较小金额开支为一般性开支或配套辅助性开支，故未专门设置指标反映项目决策情况。根据单位年度考核、内部控制等工作情况综合反映，本项目决策科学规范，评价为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绩效评价指标中的“人员费用”“设备费”“日常公用经费支出”等指标作为成本指标，反映了项目资金支出的成本控制，以及是否按预算计划合理开展。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其中“人员费用”目标值为“≤470万元”，是基于上年度支出为380万元综合考虑的指标值，实际支出173.89万元，反映出单位在人员费用控制上有了显著的提升，该指标分值6，实际得分6分。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“设备费”目标值为“≤42万元”，为年初预估数据，实际支出17万元，压减的效果主要得益于对采购过程的进一步规范和成本合理控制，该指标分值7，实际得分7分。</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“日常公用经费支出”目标值为“≤1283万元”，包括水、电、暖气、物业等大量固定性支出，实际完成指标1165.6万元，符合预算目标，该指标分值7，实际得分7分。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绩效评价指标中的“科研项目数（个）”、“职工及退休人员人数”、“聘用人员”、“实验及办公设备购置数量”、“项目申报成功率”、“购置设备质量合格率”等指标作为产出指标，反映了项目对单位正常运行和科研业务活动的保障成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其中“科研项目数（个）”目标值为“≥3个”，本意是指新增项目数，实际业绩值为4个，符合预期目标，但本指标存在优化的空间，目标分值8分，实际得分8分。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“职工及退休人员人数”目标值为“≥119人”，用意在衡量依法保障职工工资收入等合法权益的成效，实际业绩值为119人，符合预期目标，目标分值9分，实际得分9分。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“聘用人员”目标值“≥32人”，用意同样在衡量依法保障职工工资收入等合法权益的成效，实际业绩值为32人，符合预期目标，目标分值9分，实际得分9分。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“实验及办公设备购置数量”目标值“≥3台”，用于反映单位服务科研业务等的能力建设，实际业绩值为3台，符合预期目标，目标分值8分，实际得分8分。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申报成功率”目标值“≥90%”，该指标目标是衡量经过单位审核后向科技厅申报的项目成功率，实际业绩值为90%，符合预期目标，但该指标对鼓励单位干部职工申报项目不利，后续应考虑修改此项指标，目标分值8分，实际得分8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“购置设备质量合格率”目标值“≥90%”，同样用于反映单位用于反映单位服务科研业务等的能力建设成效，实际业绩值为100%，符合预期目标，目标分值8分，实际得分8分。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综合评价，三项产出指标总分值为50分，实际得分50分。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绩效评价指标中的“发表论文数（篇）”作为效益指标，主要反映待验收项目资金执行的效益，目标值为“≥4篇”，该指标设置存在问题，不能反映单位整体情况，后续应考虑修改目标值，为了符合指标设置的初衷，指标设置时待验收项目发表论文4篇，目标分值20分，实际得分20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自治区环科院2024年度科研业务活动费预算执行率较低，原因是大型修缮工作因涉及单位办公楼权属问题进度缓慢。</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部分绩效指标设置不合理，与指标设施的初衷不一致，无法充分反映本项目的实施情况，2025年度预算绩效指标的设置已经有了部分的优化，我们将结合本次项目绩效评价情况在2026年度项目绩效指标设置中进一步调整优化。</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黑体" w:hAnsi="黑体" w:eastAsia="黑体"/>
          <w:b w:val="0"/>
          <w:spacing w:val="-4"/>
          <w:sz w:val="32"/>
          <w:szCs w:val="32"/>
          <w:lang w:eastAsia="zh-CN"/>
        </w:rPr>
      </w:pPr>
      <w:bookmarkStart w:id="0" w:name="_GoBack"/>
      <w:r>
        <w:rPr>
          <w:rStyle w:val="18"/>
          <w:rFonts w:hint="eastAsia" w:ascii="黑体" w:hAnsi="黑体" w:eastAsia="黑体"/>
          <w:b w:val="0"/>
          <w:spacing w:val="-4"/>
          <w:sz w:val="32"/>
          <w:szCs w:val="32"/>
          <w:lang w:eastAsia="zh-CN"/>
        </w:rPr>
        <w:t>六、有关建议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对自有资金的预算执行率要求适当放宽，或提供预算修改的窗口期，在确保资金执行合规的前提下增加预算管理的灵活性。</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预算绩效评价受部分指标设置不合理的影响，可能在结果上出现一定的偏差，影响评价结果。此项目为自治区环科院维持正常运转和科研业务活动顺利开展而设置，每年都会进行预算安排，我们将在此后的工作中进一步优化此项目的预算绩效工作，提高评价结果的代表性和准确性。</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bookmarkEnd w:id="0"/>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6D575E9"/>
    <w:rsid w:val="07A11279"/>
    <w:rsid w:val="0CB44F22"/>
    <w:rsid w:val="0EBE1CFA"/>
    <w:rsid w:val="1B9278BB"/>
    <w:rsid w:val="4C3D1751"/>
    <w:rsid w:val="4CF212E6"/>
    <w:rsid w:val="4D2606A1"/>
    <w:rsid w:val="54216F96"/>
    <w:rsid w:val="55DDDA16"/>
    <w:rsid w:val="56FF9B3C"/>
    <w:rsid w:val="7769A182"/>
    <w:rsid w:val="BBDD99E1"/>
    <w:rsid w:val="BF451145"/>
    <w:rsid w:val="D69F91B4"/>
    <w:rsid w:val="DF7F60A6"/>
    <w:rsid w:val="EF34BA19"/>
    <w:rsid w:val="EFDFED34"/>
    <w:rsid w:val="FB7FE948"/>
    <w:rsid w:val="FBAFDC1B"/>
    <w:rsid w:val="FEFE9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906</Words>
  <Characters>965</Characters>
  <Lines>5</Lines>
  <Paragraphs>1</Paragraphs>
  <TotalTime>19</TotalTime>
  <ScaleCrop>false</ScaleCrop>
  <LinksUpToDate>false</LinksUpToDate>
  <CharactersWithSpaces>977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2025-08-22T11:33:35Z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160D1BA1944349B08C48068401F6E698</vt:lpwstr>
  </property>
  <property fmtid="{D5CDD505-2E9C-101B-9397-08002B2CF9AE}" pid="4" name="KSOTemplateDocerSaveRecord">
    <vt:lpwstr>eyJoZGlkIjoiOGIzZWE1Y2JhYzljZjc2ZjgyMDkwZmYxNmZjZDA5YmQiLCJ1c2VySWQiOiIzOTI3NTQ1MTkifQ==</vt:lpwstr>
  </property>
</Properties>
</file>