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宋体" w:eastAsia="黑体"/>
          <w:sz w:val="44"/>
          <w:szCs w:val="44"/>
        </w:rPr>
      </w:pPr>
      <w:r>
        <w:rPr>
          <w:rFonts w:ascii="宋体" w:eastAsia="黑体"/>
          <w:sz w:val="44"/>
          <w:szCs w:val="44"/>
        </w:rPr>
        <w:t>新疆维吾尔自治区体育科学研究所</w:t>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44"/>
          <w:szCs w:val="44"/>
        </w:rPr>
      </w:pPr>
      <w:r>
        <w:rPr>
          <w:rFonts w:ascii="黑体" w:eastAsia="黑体"/>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after="0"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ascii="黑体" w:eastAsia="黑体"/>
          <w:sz w:val="32"/>
          <w:szCs w:val="32"/>
        </w:rPr>
      </w:pPr>
      <w:r>
        <w:rPr>
          <w:rFonts w:ascii="黑体" w:eastAsia="黑体"/>
          <w:b/>
          <w:sz w:val="32"/>
          <w:szCs w:val="32"/>
        </w:rPr>
        <w:t>目  录</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一、主要职能</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二、机构设置及人员情况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二、收入决算情况说明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（二）政府采购情况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十二、其他需说明的事项</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一、《收入支出决算总表》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二、《收入决算表》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第一部分</w:t>
      </w:r>
      <w:r>
        <w:rPr>
          <w:rFonts w:hint="default" w:ascii="黑体" w:eastAsia="黑体"/>
          <w:sz w:val="32"/>
          <w:szCs w:val="32"/>
          <w:lang w:val="en-US"/>
        </w:rPr>
        <w:t xml:space="preserve"> </w:t>
      </w:r>
      <w:r>
        <w:rPr>
          <w:rFonts w:ascii="黑体" w:eastAsia="黑体"/>
          <w:sz w:val="32"/>
          <w:szCs w:val="32"/>
        </w:rPr>
        <w:t> 单位概况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 一、主要职能</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面向体育运动训练实际，研究运动营养、康复等课题；承担自治区体育运动领域科学理论研究工作；为体育运动领域违禁药物检验检测提供技术支持服务。认真贯彻落实国家体育总局各项政策方针，普及健身知识，宣传健身效果，弘扬健康新理念，把身心健康作为个人全面发展和适应社会的重要能力，树立以参与体育健身、拥有强健体魄为荣的个人发展理念，营造良好舆论氛围，通过体育健身提高个人的团队协作能力。强调了竞技体育所表现的积极进取、诚实守信、规则至上、团结友爱、健康自然的精神和理念，体现了和谐社会的目标追求与价值导向，是培养人们公平竞争、团结协作和克服困难的精神与观念，促进人的全面发展，形成健康、科学的生活方式，创造文明、和谐的社会环境的有效途径，也是促进全民健身运动，推动体育产业发展的重要手段。《体育时空》《新疆体育》（维文）《新疆体育工作》（内部资料）三个刊物，紧紧围绕国家体育总局、自治区新闻出版局、自治区体育局党组的部署，大力宣传运动项目文化，弘扬奥林匹克精神和中华体育精神，挖掘传承传统体育文化，发挥区域特色文化遗产的作用。始终将体育理论宣传与实践报道工作紧密联系起来。在工作中贯彻“贴近群众、贴近社会、贴近读者”的原则，将正确的舆论导向贯彻落实到新闻采编的各个岗位和各个环节，进一步推动基层体育工作发展，努力服务好竞技体育、群众体育、青少年体育、体育产业工作，积极弘扬体育精神，传达政策信息，指导基层工作，搭建交流体育经验信息的平台。树立全民健身榜样，讲述全民健身故事，传播社会正能量，发挥体育文化在践行社会主义核心价值观、弘扬中华民族传统美德、传承人类优秀文明成果和提升国家软实力等方面的独特价值和作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二、机构设置及人员情况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新疆维吾尔自治区体育科学研究所2024年度，实有人数49人，其中：在职人员22人，增加1人；离休人员0人，较上年无变化；退休人员27人，较上年无变化；</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新疆维吾尔自治区体育科学研究所无下属预算单位，下设8个科室，分别是：办公室、政工科、竞技体育研究室、运动表现与康复研究室、体质研究与健康指导研究室、信息研究室、反兴奋剂工作室。</w:t>
      </w:r>
    </w:p>
    <w:p>
      <w:pPr>
        <w:keepNext w:val="0"/>
        <w:keepLines w:val="0"/>
        <w:pageBreakBefore w:val="0"/>
        <w:widowControl/>
        <w:kinsoku/>
        <w:wordWrap/>
        <w:overflowPunct/>
        <w:topLinePunct w:val="0"/>
        <w:autoSpaceDE/>
        <w:autoSpaceDN/>
        <w:bidi w:val="0"/>
        <w:adjustRightInd/>
        <w:snapToGrid/>
        <w:spacing w:after="0"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2024年度收入总计1,004.90万元，其中：本年收入合计945.81万元，使用非财政拨款结余（含专用结余）0.00万元，年初结转和结余59.09万元。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2024年度支出总计1,004.90万元，其中：本年支出合计919.44万元，结余分配0.00万元，年末结转和结余85.46万元。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default" w:ascii="仿宋_GB2312" w:eastAsia="仿宋_GB2312"/>
          <w:sz w:val="32"/>
          <w:szCs w:val="32"/>
          <w:lang w:val="en-US"/>
        </w:rPr>
      </w:pPr>
      <w:r>
        <w:rPr>
          <w:rFonts w:ascii="仿宋_GB2312" w:eastAsia="仿宋_GB2312"/>
          <w:sz w:val="32"/>
          <w:szCs w:val="32"/>
        </w:rPr>
        <w:t>收入支出总体与上年相比，增加222.63万元，增长28.46%，主要原因是：</w:t>
      </w:r>
      <w:r>
        <w:rPr>
          <w:rFonts w:hint="eastAsia" w:ascii="仿宋_GB2312" w:eastAsia="仿宋_GB2312"/>
          <w:sz w:val="32"/>
          <w:szCs w:val="32"/>
          <w:lang w:eastAsia="zh-CN"/>
        </w:rPr>
        <w:t>一是工资上调，在职人员增加</w:t>
      </w:r>
      <w:r>
        <w:rPr>
          <w:rFonts w:hint="eastAsia" w:ascii="仿宋_GB2312" w:eastAsia="仿宋_GB2312"/>
          <w:sz w:val="32"/>
          <w:szCs w:val="32"/>
          <w:lang w:val="en-US" w:eastAsia="zh-CN"/>
        </w:rPr>
        <w:t>1名，基本支出增加；二是增加了政府性基金项目重点实验室维护运行费、国民体质监测数据采集和健身指导，项目支出增加。</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二、收入决算情况说明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本年收入945.81万元，其中：财政拨款收入902.15万元,占95.38%；上级补助收入0.00万元,占0.00%；事业收入0.00万元，占0.00%；经营收入0.00万元,占0.00%；附属单位上缴收入0.00万元，占0.00%；其他收入43.66万元，占4.62%。</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三、支出决算情况说明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本年支出919.44万元，其中：基本支出501.12万元，占54.50%；项目支出418.32万元，占45.50%；上缴上级支出0.00万元，占0.00%；经营支出0.00万元，占0.00%；对附属单位补助支出0.00万元，占0.00%。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2024年度财政拨款收入总计902.15万元，其中：年初财政拨款结转和结余0.00万元，本年财政拨款收入902.15万元。财政拨款支出总计902.15万元，其中：年末财政拨款结转和结余0.00万元，本年财政拨款支出902.15万元。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default" w:ascii="仿宋_GB2312" w:eastAsia="仿宋_GB2312"/>
          <w:sz w:val="32"/>
          <w:szCs w:val="32"/>
          <w:lang w:val="en-US"/>
        </w:rPr>
      </w:pPr>
      <w:r>
        <w:rPr>
          <w:rFonts w:ascii="仿宋_GB2312" w:eastAsia="仿宋_GB2312"/>
          <w:sz w:val="32"/>
          <w:szCs w:val="32"/>
        </w:rPr>
        <w:t>财政拨款收入支出总体与上年相比，增加226.67万元，增长33.56%，主要原因是：</w:t>
      </w:r>
      <w:r>
        <w:rPr>
          <w:rFonts w:hint="eastAsia" w:ascii="仿宋_GB2312" w:eastAsia="仿宋_GB2312"/>
          <w:sz w:val="32"/>
          <w:szCs w:val="32"/>
          <w:lang w:eastAsia="zh-CN"/>
        </w:rPr>
        <w:t>一是工资上调，在职人员增加</w:t>
      </w:r>
      <w:r>
        <w:rPr>
          <w:rFonts w:hint="eastAsia" w:ascii="仿宋_GB2312" w:eastAsia="仿宋_GB2312"/>
          <w:sz w:val="32"/>
          <w:szCs w:val="32"/>
          <w:lang w:val="en-US" w:eastAsia="zh-CN"/>
        </w:rPr>
        <w:t>1名，基本支出增加；二是增加了重点实验室维护运行费、国民体质监测数据采集和健身指导政府性基金项目，项目支出增加。</w:t>
      </w:r>
      <w:r>
        <w:rPr>
          <w:rFonts w:ascii="仿宋_GB2312" w:eastAsia="仿宋_GB2312"/>
          <w:sz w:val="32"/>
          <w:szCs w:val="32"/>
        </w:rPr>
        <w:t>与年初预算相比，年初预算数840.29万元，决算数902.15万元，预决算差异率7.36%，主要原因是：</w:t>
      </w:r>
      <w:r>
        <w:rPr>
          <w:rFonts w:hint="eastAsia" w:ascii="仿宋_GB2312" w:eastAsia="仿宋_GB2312"/>
          <w:sz w:val="32"/>
          <w:szCs w:val="32"/>
          <w:lang w:eastAsia="zh-CN"/>
        </w:rPr>
        <w:t>一是工资上调，在职人员增加</w:t>
      </w:r>
      <w:r>
        <w:rPr>
          <w:rFonts w:hint="eastAsia" w:ascii="仿宋_GB2312" w:eastAsia="仿宋_GB2312"/>
          <w:sz w:val="32"/>
          <w:szCs w:val="32"/>
          <w:lang w:val="en-US" w:eastAsia="zh-CN"/>
        </w:rPr>
        <w:t>1名，基本支出增加；二是追加了国民体质监测数据采集和健身指导政府性基金项目，项目支出增加。</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一般公共预算财政拨款支出501.10万元，占本年支出合计的54.50%。与上年相比，增加12.69万元，增长2.60%，主要原因是：工资调整，人员经费增加。与年初预算相比，年初预算数473.96万元，决算数501.10万元，预决算差异率5.73%，主要原因是：2024年工资上调，人员经费增加。</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科学技术支出（类）501.10万元，占100.00%。</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ascii="仿宋_GB2312" w:eastAsia="仿宋_GB2312"/>
          <w:sz w:val="32"/>
          <w:szCs w:val="32"/>
        </w:rPr>
        <w:t>1、科学技术支出（类）应用研究（款）机构运行（项）：支出决算数为501.10万元，比上年决算增加12.69万元，增长2.60%，主要原因是：工资上调，新增在职人员一名，人员经费增加。</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一般公共预算财政拨款基本支出501.10万元，其中：人员经费477.30万元，包括：基本工资、津贴补贴、奖金、绩效工资、机关事业单位基本养老保险缴费、职工基本医疗保险缴费、公务员医疗补助缴费、其他社会保障缴费、住房公积金、退休费、奖励金和其他对个人和家庭的补助。</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公用经费23.80万元，包括：办公费、邮电费、差旅费、专用材料费、劳务费、委托业务费、工会经费、福利费、公务用车运行维护费、其他商品和服务支出和专用设备购置。</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2024年度政府性基金预算财政拨款收入总计401.05万元，其中：年初结转和结余0.00万元，本年收入401.05万元。政府性基金预算财政拨款支出总计401.05万元，其中：年末结转和结余0.00万元，本年支出401.05万元。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政府性基金预算财政拨款收入支出总体与上年相比，增加213.98万元，增长114.38%，主要原因是：</w:t>
      </w:r>
      <w:r>
        <w:rPr>
          <w:rFonts w:hint="eastAsia" w:ascii="仿宋_GB2312" w:eastAsia="仿宋_GB2312"/>
          <w:sz w:val="32"/>
          <w:szCs w:val="32"/>
          <w:lang w:val="en-US" w:eastAsia="zh-CN"/>
        </w:rPr>
        <w:t>2024年较上年增加了重点实验室维护运行费、国民体质监测数据采集和健身指导政府性基金项目。</w:t>
      </w:r>
      <w:r>
        <w:rPr>
          <w:rFonts w:ascii="仿宋_GB2312" w:eastAsia="仿宋_GB2312"/>
          <w:sz w:val="32"/>
          <w:szCs w:val="32"/>
        </w:rPr>
        <w:t>与年初预算相比，年初预算数366.33万元，决算数401.05万元，预决算差异率9.48%，主要原因是：追加</w:t>
      </w:r>
      <w:r>
        <w:rPr>
          <w:rFonts w:hint="eastAsia" w:ascii="仿宋_GB2312" w:eastAsia="仿宋_GB2312"/>
          <w:sz w:val="32"/>
          <w:szCs w:val="32"/>
          <w:lang w:eastAsia="zh-CN"/>
        </w:rPr>
        <w:t>了</w:t>
      </w:r>
      <w:r>
        <w:rPr>
          <w:rFonts w:ascii="仿宋_GB2312" w:eastAsia="仿宋_GB2312"/>
          <w:sz w:val="32"/>
          <w:szCs w:val="32"/>
        </w:rPr>
        <w:t>国民体质检测数据采集合健身指导项目预算。</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政府性基金预算财政拨款支出401.05万元。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eastAsia="仿宋_GB2312"/>
          <w:sz w:val="32"/>
          <w:szCs w:val="32"/>
          <w:lang w:eastAsia="zh-CN"/>
        </w:rPr>
      </w:pPr>
      <w:r>
        <w:rPr>
          <w:rFonts w:ascii="仿宋_GB2312" w:eastAsia="仿宋_GB2312"/>
          <w:sz w:val="32"/>
          <w:szCs w:val="32"/>
        </w:rPr>
        <w:t>1、其他支出（类）彩票公益金安排的支出（款）用于体育事业的彩票公益金支出（项）：支出决算数为401.05万元，比上年决算增加213.98万元，增长114.38%，主要原因是：</w:t>
      </w:r>
      <w:r>
        <w:rPr>
          <w:rFonts w:hint="eastAsia" w:ascii="仿宋_GB2312" w:eastAsia="仿宋_GB2312"/>
          <w:sz w:val="32"/>
          <w:szCs w:val="32"/>
          <w:lang w:val="en-US" w:eastAsia="zh-CN"/>
        </w:rPr>
        <w:t>2024年较</w:t>
      </w:r>
      <w:bookmarkStart w:id="0" w:name="_GoBack"/>
      <w:bookmarkEnd w:id="0"/>
      <w:r>
        <w:rPr>
          <w:rFonts w:hint="eastAsia" w:ascii="仿宋_GB2312" w:eastAsia="仿宋_GB2312"/>
          <w:sz w:val="32"/>
          <w:szCs w:val="32"/>
          <w:lang w:val="en-US" w:eastAsia="zh-CN"/>
        </w:rPr>
        <w:t>上年增加了重点实验室维护运行费、国民体质监测数据采集和健身指导政府性基金项目。</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2024年度财政拨款“三公”经费支出1.33万元，比上年减少0.01万元，下降0.75%，主要原因是：我单位厉行节约，压减三公经费支出。其中：因公出国（境）费支出0.00万元,占0.00%，与上年相比无变化，主要原因是：</w:t>
      </w:r>
      <w:r>
        <w:rPr>
          <w:rFonts w:hint="eastAsia" w:ascii="仿宋_GB2312" w:eastAsia="仿宋_GB2312"/>
          <w:sz w:val="32"/>
          <w:szCs w:val="32"/>
          <w:lang w:eastAsia="zh-CN"/>
        </w:rPr>
        <w:t>我单位</w:t>
      </w:r>
      <w:r>
        <w:rPr>
          <w:rFonts w:ascii="仿宋_GB2312" w:eastAsia="仿宋_GB2312"/>
          <w:sz w:val="32"/>
          <w:szCs w:val="32"/>
        </w:rPr>
        <w:t>2023年与2024年均未安排因公出国（境）费；公务用车购置及运行维护费支出1.33万元，占100.00%，比上年减少0.01万元，下降0.75%，主要原因是：我单位厉行节约，压减三公经费支出；公务接待费支出0.00万元，占0.00%，与上年相比无变化，主要原因是：</w:t>
      </w:r>
      <w:r>
        <w:rPr>
          <w:rFonts w:hint="eastAsia" w:ascii="仿宋_GB2312" w:eastAsia="仿宋_GB2312"/>
          <w:sz w:val="32"/>
          <w:szCs w:val="32"/>
          <w:lang w:eastAsia="zh-CN"/>
        </w:rPr>
        <w:t>我单位</w:t>
      </w:r>
      <w:r>
        <w:rPr>
          <w:rFonts w:ascii="仿宋_GB2312" w:eastAsia="仿宋_GB2312"/>
          <w:sz w:val="32"/>
          <w:szCs w:val="32"/>
        </w:rPr>
        <w:t>2023年与2024年均未安排公务接待费。</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ascii="仿宋_GB2312" w:eastAsia="仿宋_GB2312"/>
          <w:sz w:val="32"/>
          <w:szCs w:val="32"/>
        </w:rPr>
        <w:t>具体情况如下：</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因公出国（境）费支出0.00万元，开支内容包括我单位无因公出国（境）费。单位全年安排的因公出国（境）团组0个，因公出国（境）0人次。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务用车购置及运行维护费1.33万元，其中：公务用车购置费0.00万元，公务用车运行维护费1.33万元。公务用车运行维护费开支内容包括车辆维修费1.00万元，车辆保险费0.30万元，停车费0.03万元。公务用车购置数0辆，公务用车保有量4辆。国有资产占用情况中固定资产车辆4辆，与公务用车保有量差异原因是：我单位无差异。</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公务接待费0.00万元，开支内容包括我单位无公务接待费。单位全年安排的国内公务接待0批次，0人次。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与全年预算相比，财政拨款“三公”经费支出全年预算数1.82万元，决算数1.33万元，预决算差异率-26.92%，主要原因是：我单位未产生公务接待费。其中：因公出国（境）费全年预算数0.00万元，决算数0.00万元，预决算差异率0.00%，主要原因是：我单位无因公出国（境）费；公务用车购置费全年预算数0.00万元，决算数0.00万元，预决算差异率0.00%，主要原因是：公务用车购置费；公务用车运行维护费全年预算数1.43万元，决算数1.33万元，预决算差异率-6.99%，主要原因是：我单位厉行节约，压减公务用车运行费；公务接待费全年预算数0.39万元，决算数0.00万元，预决算差异率-100.00%，主要原因是：我单位本年无公务接待。</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2024年度新疆维吾尔自治区体育科学研究所单位（事业单位）公用经费支出23.80万元，比上年减少0.09万元，下降0.38%，主要原因是：我单位厉行节约，压减三公经费支出。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2024年度政府采购支出总额259.99万元，其中：政府采购货物支出251.51万元、政府采购工程支出0.00万元、政府采购服务支出8.48万元。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授予中小企业合同金额259.99万元，占政府采购支出总额的100.00%，其中：授予小微企业合同金额259.99万元，占政府采购支出总额的100.00%。</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截至2024年12月31日，房屋0.00平方米，价值0.00万元。车辆4辆，价值57.82万元，其中：副部（省）级及以上领导用车0辆、主要负责人用车0辆、机要通信用车0辆、应急保障用车0辆、执法执勤用车0辆、特种专业技术用车0辆、离退休干部服务用车0辆、其他用车4辆，其他用车主要是：公务用车;单价100万元（含）以上设备（不含车辆）2台。</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根据预算绩效管理要求，本单位2024年度预算绩效评价项目2个，全年预算340.00万元，全年执行数340.00万元。预算绩效管理取得的成效：一是通过常态化保障运动队训练比赛状态，重点做好运动队科技服务保障。针对拳击队等队伍开展了技术统计、体能测试等工作；针对射击、射箭、拳击等项目开展了包括心理咨询、认知调节、注意力训练、讲授心理课程等内容的心理科技服务；针对拳击、射箭等队伍开展了运动视觉测试。助力各运动队在国内外大赛中取得了较好的成绩。二是通过开展反兴奋剂宣教、检查、培训等工作，圆满完成了反兴奋剂年度工作任务。发现的问题及原因：一是立项前期准备不充分；二是项目缺乏有效动态监管机制；三是由于缺乏绩效工作经验，年初绩效指标编制不精确。下一步改进措施：项目决策时，从单位实际情况出发，在充分了解项目相关基本情况的基础上，对项目进行决策。具体附项目支出绩效自评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十二、其他需说明的事项</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after="0"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after="0"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一、《收入支出决算总表》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二、《收入决算表》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三、《支出决算表》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roma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E009D4"/>
    <w:rsid w:val="0099075D"/>
    <w:rsid w:val="00E009D4"/>
    <w:rsid w:val="300F46A7"/>
    <w:rsid w:val="47777697"/>
    <w:rsid w:val="4DA0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rPr>
  </w:style>
  <w:style w:type="character" w:customStyle="1" w:styleId="16">
    <w:name w:val="页眉 Char"/>
    <w:basedOn w:val="13"/>
    <w:link w:val="8"/>
    <w:qFormat/>
    <w:uiPriority w:val="99"/>
  </w:style>
  <w:style w:type="character" w:customStyle="1" w:styleId="17">
    <w:name w:val="标题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标题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标题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5448</Words>
  <Characters>6059</Characters>
  <Lines>43</Lines>
  <Paragraphs>12</Paragraphs>
  <TotalTime>4</TotalTime>
  <ScaleCrop>false</ScaleCrop>
  <LinksUpToDate>false</LinksUpToDate>
  <CharactersWithSpaces>6069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2025-08-22T03:36:00Z</dcterms:created>
  <dc:creator>Administrator</dc:creator>
  <cp:lastModifiedBy>Administrator</cp:lastModifiedBy>
  <dcterms:modified xsi:type="dcterms:W3CDTF">2025-08-26T05:18:13Z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eyJoZGlkIjoiMzI1MDdhNTJjZmNjY2ZhMjgwZjRmMjZhZmFiODZlMzQiLCJ1c2VySWQiOiIxNzI2MTQ0Njc0In0=</vt:lpwstr>
  </property>
  <property fmtid="{D5CDD505-2E9C-101B-9397-08002B2CF9AE}" pid="3" name="KSOProductBuildVer">
    <vt:lpwstr>2052-11.8.2.10912</vt:lpwstr>
  </property>
  <property fmtid="{D5CDD505-2E9C-101B-9397-08002B2CF9AE}" pid="4" name="ICV">
    <vt:lpwstr>AA364CE077874FD0A1629DA3F29DA468_12</vt:lpwstr>
  </property>
</Properties>
</file>