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新疆中药民族药研究所科研技术服务项目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新疆维吾尔自治区中药民族药研究所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新疆维吾尔自治区中药民族药研究所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石明辉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中医药是中华民族的瑰宝，新疆民族药是中医药的重要组成部分，中药材是中医药产业的重要物质基础。目前，新疆中药材种植面积约400万亩，主要集中在肉苁蓉、甘草、红花、枸杞、罗布麻、薰衣草等17种大宗药材品种。在种植区域分布上，南疆主要集中在塔河流域两岸地区，北疆主要集中在伊犁河谷、天山北坡和阿勒泰地区。在中药材引种方面，目前新疆种植面积31万亩，已有60多种药材实现人工种植养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药材产业有力带动了全区中成医药产业快速发展，全区现有中药生产企业48家（其中：中成药生产企业30家、中药饮片生产企业18家）；药品品种709个（效期内670个），其中中药282个（民族药批准文号55个）；医疗机构制剂室17家，医疗机构制剂品种394个；55个取得国药批准文号民族医药产品全部纳入自治区医保目录，22个纳入国家医保目录品种，38个维吾尔药品载入《古代经典名方目录（第二批）》。全区中药在研品种42个，其中，14个处于临床前研究阶段、5个品种处于申报临床阶段、21个品种处于临床研究阶段、2个品种处于申报上市阶段。7个中药品种在乌兹别克斯坦、哈萨克斯坦等周边国家取得了注册批文。全区共有自治区重点实验室12个，自治区工程中心4个，国家中医药管理局三级实验室4个，以中医药为重点的基础研究与应用研究支撑能力不断增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据统计，2023年全区中药企业实现工业总产值47.27亿元，同比增长41.9%，占全区医药制造业约40%；实现销售收入45.59亿元，同比增长35.5%；年销售收入1亿元以上的大品种有8个，西帕依固龈液、祖卡木颗粒、寒喘祖帕颗粒、复方木尼孜其颗粒、复方一枝蒿颗粒、爱维心口服液、安胃疡胶囊等产品在市场上备受青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地域辽阔，“三山夹两盆”的地貌格局和昼夜温差大、光照时间长等气候特征，孕育了珍稀、特色、丰富并驰名中外的天然药材资源。据国家第四次中药资源普查显示，新疆拥有药用植物资源2217种，所产中药材有效成份可超出国家制定的药典标准3—6倍。加之新疆地广人稀，农药残留少、无污染，中药材得到广大药企药商认可，供不应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疆处于欧亚大陆中心，是我国向西开放的桥头堡。中医药对中西亚有较强的影响力，在中西亚区域市场开拓潜力巨大，特殊的地理区位为中医药产业发展提供了得天独厚的市场环境。新疆维吾尔药业、新奇康药业、银朵兰药业等药企积极开拓海外市场，祖卡木颗粒、寒喘祖帕颗粒、通滞苏润江胶囊已获得哈萨克斯坦注册批件，“复方一枝蒿颗粒”已获乌兹别克斯坦注册批件，推动了新疆民族药走出国门、走向世界，打响了新疆药品品牌。中亚国家野生中药材资源丰富，能够有效弥补我国中药材市场不足的空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中医药学是中国古代科学的瑰宝，也是打开中华文明宝库的钥匙。围绕“守正创新，产业发展”这个主题，根据新疆的地理地貌、气候特征，科学规划、合理布局、有序推进，实现新疆中药材产业链质和量同步发展，不断满足群众日益增长的对“天然”“养生”“预防”“健康”和“发展”的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进中药材规范化种植，强化产业基础。坚持“药材好，药才好”，“育种是中医药的芯片”。一是加快推进药材资源保护和种子苗种源繁育研究，建立中药材优质种源培育、引进、驯化、选育、繁育基地。加大野生药材、进口药材品种引种繁育、驯化与基础研究，建设种质资源库，建立药材标准体系。二是有序扩大中药材种植规模。以市场需求为导向，因地制宜实施道地药材人工抚育、仿野生栽培和生态栽培，开展规模化、规范化、机械化、专业化绿色栽培技术体系研究，有序扩大我区中药材种植养殖面积和规模，推广标准化种植模式，实现一县一品或一乡一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项目的实施流转当地土地300亩，租赁厂房18间（20村12间，23村6间），为当地村集体经济每年增收20余万元，3年共计60余万元。增加科克铁热克镇托万库木库勒村和库木博斯坦村就业岗位30名，长期工8名，每人每月平均工资2000元，年收入24000元，短期工22名， 每人每月2400元，年增收10000元。在藏红花花丝采收、种球移栽、采挖期间需要大批临时雇工，每人每天收入80-120元，共参加劳动时长约60天，人均增收5000元以上。通过项目的实施和示范，有效带动了当地的就业和农户的增收，壮大了村集体收入，在助力乡村振兴方面发挥了重要作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强化人才培养引进，增强创新能力。一是加快人才队伍建设。推动企业与科研机构、高校联合建立医药人才培养基地，加快高素质药学专业人才的培养。加强与中国医学科学院、中国中医科学院、北京中医药大学和援疆省市等高等院校、科研机构的合作，充分利用其人才、科研平台优势，加快新疆中药新品种的研发。梳理挖掘民族药古籍文献中的经典名方，积极推动录入国家《古代经典名方目录》。充分利用国家对“经典名方”药物研发的扶持审批政策，加强产学研合作，根据临床优势病种，筛选药品研发难度较低、周期较短的名方品种，加快新药研发，增加上市药品。五是对已上市的民族药进行二次研发，对其化学成份、质量标准、作用机制、安全性、扩大适应症等深入研究，通过规范性研究，构建有效的循环医学证据链，进一步挖掘药品的科学价值、临床价值、市场价值，增强新疆中医药的市场竞争力。建立民族药材标准体系。制定完善还未进入中国药典药材标准的民族药药材和进口药药材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大“疆药精品”品牌形象打造，树立新疆特色药品牌形象，在全国打造出一批疗效显著、极具影响力的新疆药品品牌和企业品牌。积极对接国家中医药管理局、药品监管局，把新疆的重点特色药纳入国家医保目录和国家基本药物目录，将符合条件的品种向国家有关部门推荐成为保护品种。自治区医保部门将符合条件的中药饮片、中药提取物、配方颗粒、中药制剂等纳入医保基金支付范围。获得批准的治疗性医疗机构中药制剂，纳入医保基金支付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目前各项目已完成前期准备工作，根据项目资金，编制相关指标绩效目标。同时，要求设置项目绩效目标，做到执行过程中尽量细化，符合绩效指标量化的要求，为实际实施绩效监控和绩效评价工作做好基础。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科研业务活动费项目资金投入500.00万元，其中2023年结转项目资金400.00万元，2024年事业收入资金100.00万元。目前资金执行情况为100%。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截止2024年12月31日，该项目预算资金执行率为100%。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疆维吾尔自治区财政科研项目资金管理办法》（新财教〔2019〕196号）《新疆维吾尔自治区科技计划项目管理办法》（新科规〔2019〕1号），科研业务活动费项目资金投入500.00万元，主要用于开展肉苁蓉野生资源调查，对栽培现状进行实地调查统计，收集肉苁蓉及其他野生中药材及其寄主种质资源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2024年度项目坚持政产学研用相结合，注重培养人才，培育创新团队，获取自主知识产权。2024年科研技术服务项目绩效目标如下：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w:t>
      </w:r>
      <w:r>
        <w:rPr>
          <w:rStyle w:val="18"/>
          <w:rFonts w:hint="eastAsia" w:ascii="楷体" w:hAnsi="楷体" w:eastAsia="楷体"/>
          <w:spacing w:val="-4"/>
          <w:sz w:val="32"/>
          <w:szCs w:val="32"/>
        </w:rPr>
        <w:tab/>
        <w:t>新疆中药民族药研究所科研技术服务项目</w:t>
      </w:r>
      <w:r>
        <w:rPr>
          <w:rStyle w:val="18"/>
          <w:rFonts w:hint="eastAsia" w:ascii="楷体" w:hAnsi="楷体" w:eastAsia="楷体"/>
          <w:spacing w:val="-4"/>
          <w:sz w:val="32"/>
          <w:szCs w:val="32"/>
        </w:rPr>
        <w:tab/>
        <w:t>项目编号</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tab/>
        <w:t>年初预算数</w:t>
      </w:r>
      <w:r>
        <w:rPr>
          <w:rStyle w:val="18"/>
          <w:rFonts w:hint="eastAsia" w:ascii="楷体" w:hAnsi="楷体" w:eastAsia="楷体"/>
          <w:spacing w:val="-4"/>
          <w:sz w:val="32"/>
          <w:szCs w:val="32"/>
        </w:rPr>
        <w:tab/>
        <w:t>全年执行数</w:t>
      </w:r>
      <w:r>
        <w:rPr>
          <w:rStyle w:val="18"/>
          <w:rFonts w:hint="eastAsia" w:ascii="楷体" w:hAnsi="楷体" w:eastAsia="楷体"/>
          <w:spacing w:val="-4"/>
          <w:sz w:val="32"/>
          <w:szCs w:val="32"/>
        </w:rPr>
        <w:tab/>
        <w:t>执行率</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年度资金总额</w:t>
      </w:r>
      <w:r>
        <w:rPr>
          <w:rStyle w:val="18"/>
          <w:rFonts w:hint="eastAsia" w:ascii="楷体" w:hAnsi="楷体" w:eastAsia="楷体"/>
          <w:spacing w:val="-4"/>
          <w:sz w:val="32"/>
          <w:szCs w:val="32"/>
        </w:rPr>
        <w:tab/>
        <w:t>500</w:t>
      </w:r>
      <w:r>
        <w:rPr>
          <w:rStyle w:val="18"/>
          <w:rFonts w:hint="eastAsia" w:ascii="楷体" w:hAnsi="楷体" w:eastAsia="楷体"/>
          <w:spacing w:val="-4"/>
          <w:sz w:val="32"/>
          <w:szCs w:val="32"/>
        </w:rPr>
        <w:tab/>
        <w:t>500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其中：上年结转</w:t>
      </w:r>
      <w:r>
        <w:rPr>
          <w:rStyle w:val="18"/>
          <w:rFonts w:hint="eastAsia" w:ascii="楷体" w:hAnsi="楷体" w:eastAsia="楷体"/>
          <w:spacing w:val="-4"/>
          <w:sz w:val="32"/>
          <w:szCs w:val="32"/>
        </w:rPr>
        <w:tab/>
        <w:t>400</w:t>
      </w:r>
      <w:r>
        <w:rPr>
          <w:rStyle w:val="18"/>
          <w:rFonts w:hint="eastAsia" w:ascii="楷体" w:hAnsi="楷体" w:eastAsia="楷体"/>
          <w:spacing w:val="-4"/>
          <w:sz w:val="32"/>
          <w:szCs w:val="32"/>
        </w:rPr>
        <w:tab/>
        <w:t>400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xml:space="preserve">      当年事业收入</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w:t>
      </w:r>
      <w:r>
        <w:rPr>
          <w:rStyle w:val="18"/>
          <w:rFonts w:hint="eastAsia" w:ascii="楷体" w:hAnsi="楷体" w:eastAsia="楷体"/>
          <w:spacing w:val="-4"/>
          <w:sz w:val="32"/>
          <w:szCs w:val="32"/>
        </w:rPr>
        <w:tab/>
        <w:t>预期目标</w:t>
      </w:r>
      <w:r>
        <w:rPr>
          <w:rStyle w:val="18"/>
          <w:rFonts w:hint="eastAsia" w:ascii="楷体" w:hAnsi="楷体" w:eastAsia="楷体"/>
          <w:spacing w:val="-4"/>
          <w:sz w:val="32"/>
          <w:szCs w:val="32"/>
        </w:rPr>
        <w:tab/>
        <w:t>实际完成情况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（1）开展肉苁蓉、西红花等野生资源调查，对栽培现状进行实地调查统计，收集肉苁蓉及其寄主种质资源70份以上。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（2）开展种质资源低温库保存及活体保存工作。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（3）开展肉苁蓉、西红花等其他中药材及其寄主种质筛选研究。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（4）开展肉苁蓉、西红花其他中药材及寄主种质鉴定与评价工作。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（5）开展肉苁蓉、西红花其他中药材人工授粉关键技术研究。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（6）撰写论文1～2篇。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（7）起草技术标准1项。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（8）培养人才2～3名。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（9）提交年度工作报告1份及申请专利1项。</w:t>
      </w:r>
      <w:r>
        <w:rPr>
          <w:rStyle w:val="18"/>
          <w:rFonts w:hint="eastAsia" w:ascii="楷体" w:hAnsi="楷体" w:eastAsia="楷体"/>
          <w:spacing w:val="-4"/>
          <w:sz w:val="32"/>
          <w:szCs w:val="32"/>
        </w:rPr>
        <w:tab/>
        <w:t>（1）已开展肉苁蓉、西红花等野生资源调查，对栽培现状进行实地调查统计，已收集肉苁蓉及其寄主种质资源117份。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（2）已开展种质资源低温库保存及活体保存工作。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（3）已开展肉苁蓉、西红花等其他中药材及其寄主种质筛选研究。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（4）已开展肉苁蓉、西红花等其他中药材及寄主种质鉴定与评价工作。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（5）已开展肉苁蓉、西红花等其他中药材人工授粉关键技术研究。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（6）已撰写论文4篇，准备投稿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（7）已起草技术标准1项。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（8）培养本科研究生2名、实习生6名。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（9）已提交年度工作报告1份及申请专利1项。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年度指标值</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tab/>
        <w:t>偏差原因分析及改进措施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产出指标</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培养研究生</w:t>
      </w:r>
      <w:r>
        <w:rPr>
          <w:rStyle w:val="18"/>
          <w:rFonts w:hint="eastAsia" w:ascii="楷体" w:hAnsi="楷体" w:eastAsia="楷体"/>
          <w:spacing w:val="-4"/>
          <w:sz w:val="32"/>
          <w:szCs w:val="32"/>
        </w:rPr>
        <w:tab/>
        <w:t>&gt;=2人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发放劳务费人数</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6.38</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申请专利</w:t>
      </w:r>
      <w:r>
        <w:rPr>
          <w:rStyle w:val="18"/>
          <w:rFonts w:hint="eastAsia" w:ascii="楷体" w:hAnsi="楷体" w:eastAsia="楷体"/>
          <w:spacing w:val="-4"/>
          <w:sz w:val="32"/>
          <w:szCs w:val="32"/>
        </w:rPr>
        <w:tab/>
        <w:t>&gt;=1项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7.5</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 xml:space="preserve">承担技术服务项目数量     </w:t>
      </w:r>
      <w:r>
        <w:rPr>
          <w:rStyle w:val="18"/>
          <w:rFonts w:hint="eastAsia" w:ascii="楷体" w:hAnsi="楷体" w:eastAsia="楷体"/>
          <w:spacing w:val="-4"/>
          <w:sz w:val="32"/>
          <w:szCs w:val="32"/>
        </w:rPr>
        <w:tab/>
        <w:t>&gt;=3项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 xml:space="preserve">项目完成合格率    </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项目按时完成率</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tab/>
        <w:t>材料费</w:t>
      </w:r>
      <w:r>
        <w:rPr>
          <w:rStyle w:val="18"/>
          <w:rFonts w:hint="eastAsia" w:ascii="楷体" w:hAnsi="楷体" w:eastAsia="楷体"/>
          <w:spacing w:val="-4"/>
          <w:sz w:val="32"/>
          <w:szCs w:val="32"/>
        </w:rPr>
        <w:tab/>
        <w:t>≤150万</w:t>
      </w:r>
      <w:r>
        <w:rPr>
          <w:rStyle w:val="18"/>
          <w:rFonts w:hint="eastAsia" w:ascii="楷体" w:hAnsi="楷体" w:eastAsia="楷体"/>
          <w:spacing w:val="-4"/>
          <w:sz w:val="32"/>
          <w:szCs w:val="32"/>
        </w:rPr>
        <w:tab/>
        <w:t>98%</w:t>
      </w:r>
      <w:r>
        <w:rPr>
          <w:rStyle w:val="18"/>
          <w:rFonts w:hint="eastAsia" w:ascii="楷体" w:hAnsi="楷体" w:eastAsia="楷体"/>
          <w:spacing w:val="-4"/>
          <w:sz w:val="32"/>
          <w:szCs w:val="32"/>
        </w:rPr>
        <w:tab/>
        <w:t>4.38</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效益指标</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发表学术论文、会议论文</w:t>
      </w:r>
      <w:r>
        <w:rPr>
          <w:rStyle w:val="18"/>
          <w:rFonts w:hint="eastAsia" w:ascii="楷体" w:hAnsi="楷体" w:eastAsia="楷体"/>
          <w:spacing w:val="-4"/>
          <w:sz w:val="32"/>
          <w:szCs w:val="32"/>
        </w:rPr>
        <w:tab/>
        <w:t>&gt;=3篇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科研人员满意度</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二、绩效评价工作开展情况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（1）通过对项目开展绩效评价，客观反映项目资金管理情况、项目完成情况、取得的成绩及效益，促进资金使用效益。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（2）加强项目管理，及时调整和完善项目的工作计划和绩效目标提高管理水平，同时为项目资金使用、和管理提供依据。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本次评价从项目决策、项目管理、项目产出、项目效益四个维度进行评价，评价对象为2024年科研业务活动费项目，对承担单位的实施内容进行绩效评价。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（二）绩效评价原则、评价指标体系（附表说明）、评价方法、评价标准等。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（1）在数据收集时，采取客观数据，主管处室审查的形式，以保证各项指标的真实性。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项目决策（15分）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项目过程产出（55分）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项目效果（30分）</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组织会谈、项目组讨论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以验收指标为标准，实施目标内容为评价内容，对照验收指标进行逐项评价。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（1）通过对项目开展绩效评价，客观反映项目资金管理情况、项目完成情况、取得的成绩及效益，促进资金使用效益。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（2）加强项目管理，及时调整和完善项目的工作计划和绩效目标提高管理水平，同时为项目资金使用、和管理提供依据。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本次评价从项目决策、项目管理、项目产出、项目效益四个维度进行评价，评价对象为2024年科研业务活动费项目，对承担单位的实施内容进行绩效评价。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科研业务活动经费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（1）在数据收集时，采取客观数据，主管处室审查的形式，以保证各项指标的真实性。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项目决策、项目产出、项目效益、满意度指标三大一级指标，并按科学及相关性要求分别设立二级指标和三级指标，项目绩效评价指标体系，评分表满分100分。具体内容详见2024年度科研业务活动费绩效评价指标体系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项目决策（15分）</w:t>
      </w:r>
      <w:r>
        <w:rPr>
          <w:rStyle w:val="18"/>
          <w:rFonts w:hint="eastAsia" w:ascii="楷体" w:hAnsi="楷体" w:eastAsia="楷体"/>
          <w:spacing w:val="-4"/>
          <w:sz w:val="32"/>
          <w:szCs w:val="32"/>
        </w:rPr>
        <w:tab/>
        <w:t>项目立项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绩效目标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项目过程产出（55分）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项目效果（30分）</w:t>
      </w:r>
      <w:r>
        <w:rPr>
          <w:rStyle w:val="18"/>
          <w:rFonts w:hint="eastAsia" w:ascii="楷体" w:hAnsi="楷体" w:eastAsia="楷体"/>
          <w:spacing w:val="-4"/>
          <w:sz w:val="32"/>
          <w:szCs w:val="32"/>
        </w:rPr>
        <w:tab/>
        <w:t>经济效益指标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调查问卷、组织会谈、项目组讨论等方法，对财政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业务活动费项目绩效评价方法是通过对绩效目标与项目实施效果进行比较，综合分析绩效目标实现的程度。主要采用了比较法，通过梳理该项目实施方案和实际完成情况，评价产出指标的完成情况，分析项目实施后产生的效益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以验收指标为标准，实施目标内容为评价内容，对照验收指标进行逐项评价。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季度开始前设立绩效目标表，将评价指标进行明确标注，具体该季度应该完成什么工作明确在绩效目标表中。季度末进行绩效评价表的填报，对照绩效目标表逐项核对，未完成目标的进行分析，并制定整改措施与计划。</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相关处室综合分析评价，该项目得88.26分，绩效等级评定为“良好”。该项目资金分配使用管理整体情况较好，项目执行期间完成发表论文、培养研究生、实验研究报告等绩效目标任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整体绩效分值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38.5</w:t>
      </w:r>
      <w:r>
        <w:rPr>
          <w:rStyle w:val="18"/>
          <w:rFonts w:hint="eastAsia" w:ascii="楷体" w:hAnsi="楷体" w:eastAsia="楷体"/>
          <w:spacing w:val="-4"/>
          <w:sz w:val="32"/>
          <w:szCs w:val="32"/>
        </w:rPr>
        <w:tab/>
        <w:t>96.25%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项目效果</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tab/>
        <w:t>29.76</w:t>
      </w:r>
      <w:r>
        <w:rPr>
          <w:rStyle w:val="18"/>
          <w:rFonts w:hint="eastAsia" w:ascii="楷体" w:hAnsi="楷体" w:eastAsia="楷体"/>
          <w:spacing w:val="-4"/>
          <w:sz w:val="32"/>
          <w:szCs w:val="32"/>
        </w:rPr>
        <w:tab/>
        <w:t>98.8%</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98.26</w:t>
      </w:r>
      <w:r>
        <w:rPr>
          <w:rStyle w:val="18"/>
          <w:rFonts w:hint="eastAsia" w:ascii="楷体" w:hAnsi="楷体" w:eastAsia="楷体"/>
          <w:spacing w:val="-4"/>
          <w:sz w:val="32"/>
          <w:szCs w:val="32"/>
        </w:rPr>
        <w:tab/>
        <w:t>98.26%</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科研业务活动费利用开展中药新产品的研究开发和基础研究，推进中药的规范化种植机产业化，开展中药新工艺、新剂型、新材料和新方法的研究开发等业务。从事包括药学、中药学、农学、化学管理学等学科领域的研究专业涉及植物、植化、药剂、药理、药分、生药、资源、生态、栽培、植保等。可提供药材规范化生产技术的研究与推广体系和技术人才队伍。加大政府引导资金投入。自治区财政设立中药材产业发展专项资金，支持新药创制、人才培养、国际先进工艺装备、创新平台建设、标准制定、国际合作、大品种大品牌打造等领域。对获得新药临床批件、国药准字、重大科技成果的本地生产药企以奖代补的方式给予支持。其次全面落实国家、自治区出台的系列激励科技创新、成果转化的优惠政策和股权激励、酬金分配、处置权限等激励措施，破解政策“最后一公里”堵点。持续抓好政府特殊津贴、国家科技创新领军人才、青年拔尖人才等项目。中药材种植纳入自治区农业种植指导性计划，确保中药材产量的稳定。</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（1）发放劳务费资金数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根据《新疆维吾尔自治区科技计划项目管理办法实施细则（暂行）》（新科规〔2022〕1号）及《新疆维吾尔自治区财政科研项目资金管理办法》（新财规〔2022〕8号）等相关文件精神和财务管理制度，预计发放劳务费资金数50万元以下，实际完成值55万元，该绩效目标完成率95%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（2）材料费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本项目预计支出材料费150万元以下，实际完成值155万元，该绩效目标完成率94%。</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该指标满分为15分，根据评分标准得15分。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（1）申请专利</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根据年初绩效目标，本年预计申请专利1项，完成值为申请专利1项，该绩效目标完成率100%。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（2）承担技术服务项目数量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根据年初绩效目标，本年预计承担技术服务项目3项以上，本年签订技术服务合同3份以上，该绩效目标完成率100%。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（1）项目完成合格率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根据年初绩效目标，预计本年项目完成合格率90%以上，本年项目完成合格率为90%，该绩效目标完成率100%。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该指标分为40分，根据评分标准得38.5分。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（1）人才培养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根据年初绩效目标，预计本年培养研究生2人以上，实际培养研究生2人，该绩效目标完成合格率为100%。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（2）发表论文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根据年初绩效目标，预计本年发表学术论文3篇以上，实际发表论文3篇，该绩效目标完成合格率为100%。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科研人员满意度≥90%，科研人员满意度较高，该绩效目标完成合格率为100%。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发挥科研力量，利用天然药物优势资源，围绕本年“科研业务活动费”项目总体目标，开展中药民族药科学技术研发任务。根据该项目预算绩效目标年初指标，年内已全部完成，并取得了一定的成绩。通过该项目的实施，大大提高了科研人员的创新意识，提升了单位整体的科研实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本年度项目绩效管理工作中，能够及时合理安排项目资金支出，但同时存在绩效管理意识比较薄弱，工作缺乏主动性和积极性，预算绩效跟踪不及时、不到位等问题。在下一年的工作中，应进一步增强绩效管理理念，高度重视项目绩效管理工作，加强与各部门的协调和沟通，强化过程管理，提高服务水平，不断提高资金使用效益。</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建议项目课题组加强绩效目标填报研究，根据项目历年指标完成情况，开展充分的数据分析，深入挖掘项目实施效益，充分考虑绩效目标及指标设置的科学合理性，细化绩效管理工作。</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DDF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2025-08-21T10:48:12Z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