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outlineLvl w:val="0"/>
        <w:rPr>
          <w:rFonts w:ascii="宋体" w:eastAsia="黑体"/>
          <w:sz w:val="44"/>
          <w:szCs w:val="44"/>
        </w:rPr>
      </w:pPr>
      <w:r>
        <w:rPr>
          <w:rFonts w:ascii="宋体" w:eastAsia="黑体"/>
          <w:sz w:val="44"/>
          <w:szCs w:val="44"/>
        </w:rPr>
        <w:t>新疆维吾尔自治区药物研究所</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outlineLvl w:val="0"/>
        <w:rPr>
          <w:rFonts w:ascii="黑体" w:eastAsia="黑体"/>
          <w:sz w:val="44"/>
          <w:szCs w:val="44"/>
        </w:rPr>
      </w:pPr>
      <w:r>
        <w:rPr>
          <w:rFonts w:ascii="黑体" w:eastAsia="黑体"/>
          <w:sz w:val="44"/>
          <w:szCs w:val="44"/>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textAlignment w:val="auto"/>
      </w:pPr>
      <w:r>
        <w:rPr>
          <w:sz w:val="0"/>
          <w:szCs w:val="0"/>
        </w:rPr>
        <w:br w:type="page"/>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黑体" w:eastAsia="黑体"/>
          <w:sz w:val="32"/>
          <w:szCs w:val="32"/>
        </w:rPr>
      </w:pPr>
      <w:r>
        <w:rPr>
          <w:rFonts w:ascii="黑体" w:eastAsia="黑体"/>
          <w:b/>
          <w:sz w:val="32"/>
          <w:szCs w:val="32"/>
        </w:rPr>
        <w:t>目录</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b/>
          <w:sz w:val="32"/>
          <w:szCs w:val="32"/>
        </w:rPr>
        <w:t>第一部分单位概况</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一、主要职能</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二、机构设置及人员情况</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b/>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二、收入决算情况说明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三、支出决算情况说明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（二）政府采购情况</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十二、其他需说明的事项</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b/>
          <w:sz w:val="32"/>
          <w:szCs w:val="32"/>
        </w:rPr>
        <w:t>第三部分专业名词解释</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b/>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一、《收入支出决算总表》</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二、《收入决算表》</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三、《支出决算表》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ascii="仿宋_GB2312" w:eastAsia="仿宋_GB2312"/>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pPr>
      <w:r>
        <w:rPr>
          <w:sz w:val="0"/>
          <w:szCs w:val="0"/>
        </w:rPr>
        <w:br w:type="page"/>
      </w:r>
    </w:p>
    <w:p>
      <w:pPr>
        <w:keepNext w:val="0"/>
        <w:keepLines w:val="0"/>
        <w:pageBreakBefore w:val="0"/>
        <w:widowControl/>
        <w:kinsoku/>
        <w:wordWrap/>
        <w:overflowPunct/>
        <w:topLinePunct w:val="0"/>
        <w:autoSpaceDE/>
        <w:autoSpaceDN/>
        <w:bidi w:val="0"/>
        <w:adjustRightInd/>
        <w:snapToGrid/>
        <w:spacing w:line="560" w:lineRule="exact"/>
        <w:jc w:val="center"/>
        <w:textAlignment w:val="auto"/>
        <w:outlineLvl w:val="0"/>
        <w:rPr>
          <w:rFonts w:ascii="黑体" w:eastAsia="黑体"/>
          <w:sz w:val="32"/>
          <w:szCs w:val="32"/>
        </w:rPr>
      </w:pPr>
      <w:r>
        <w:rPr>
          <w:rFonts w:ascii="黑体" w:eastAsia="黑体"/>
          <w:sz w:val="32"/>
          <w:szCs w:val="32"/>
        </w:rPr>
        <w:t>第一部分</w:t>
      </w:r>
      <w:r>
        <w:rPr>
          <w:rFonts w:hint="default" w:ascii="黑体" w:eastAsia="黑体"/>
          <w:sz w:val="32"/>
          <w:szCs w:val="32"/>
          <w:lang w:val="en-US"/>
        </w:rPr>
        <w:t xml:space="preserve"> </w:t>
      </w:r>
      <w:r>
        <w:rPr>
          <w:rFonts w:ascii="黑体" w:eastAsia="黑体"/>
          <w:sz w:val="32"/>
          <w:szCs w:val="32"/>
        </w:rPr>
        <w:t>单位概况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rPr>
      </w:pPr>
      <w:r>
        <w:rPr>
          <w:rFonts w:ascii="黑体" w:eastAsia="黑体"/>
          <w:sz w:val="32"/>
          <w:szCs w:val="32"/>
        </w:rPr>
        <w:t>一、主要职能</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hint="eastAsia" w:ascii="仿宋_GB2312" w:eastAsia="仿宋_GB2312"/>
          <w:sz w:val="32"/>
          <w:szCs w:val="32"/>
        </w:rPr>
        <w:t>新疆维吾尔自治区药物研究所为自治区卫生健康委直属事业单位，是自治区科技厅社会公益类全额拨款单位，是自治区综合性药物研发机构，单位的主要职责是利用现代科学理论和高新技术手段，挖掘、整理、研究天然药物和维吾尔特色药物，承担国家、自治区基础应用研究等纵向课题，承接着自治区新药民族药技术研发、技术应用、技术转移、技术推广和辐射示范以及学术交流、培养人才等多项重任。我所相继挂牌了新疆维吾尔药重点实验室、新疆药理毒理实验研究中心、国家中医药管理局三级实验室、新疆维吾尔自治区哈萨克医药研究所，已构建了哈药方剂学实验室和基础实验室；承接着来自区内外制药企业研发单位、大专院校的新药研制项目，我所现已成为我区承担新药研发项目最多的单位，充分发挥了公益类单位为全社会服务的作用，为自治区的医药行业、科技进步和社会发展做出了一定贡献。目前我所已形成从寻找先导化合物到控释制剂，从一般药理学研究到抗病毒体外试验，从天然药物到抗生素的新药研发体系，按照SFDA《药品注册管理办法》要求我所学科梯队和研究科室已基本构建，新药研发平台已经形成，体现了我所的综合实力和创新能力在不断提高。</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rPr>
      </w:pPr>
      <w:r>
        <w:rPr>
          <w:rFonts w:ascii="黑体" w:eastAsia="黑体"/>
          <w:sz w:val="32"/>
          <w:szCs w:val="32"/>
        </w:rPr>
        <w:t>二、机构设置及人员情况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新疆维吾尔自治区药物研究所2024年度，实有人数110人，其中：在职人员65人，较上年无变化；离休人员0人，较上年无变化；退休人员45人，较上年无变化；</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新疆维吾尔自治区药物研究所无下属预算单位，下设14个科室，分别是：综合办公室、人事科、财务科、科教科、信息科、纪检室、战略研究室、民药研究室、植物化学研究室、药剂室、药理Ⅰ室、药理Ⅱ室、分析测试室、食品检验室。</w:t>
      </w:r>
    </w:p>
    <w:p>
      <w:pPr>
        <w:keepNext w:val="0"/>
        <w:keepLines w:val="0"/>
        <w:pageBreakBefore w:val="0"/>
        <w:widowControl/>
        <w:kinsoku/>
        <w:wordWrap/>
        <w:overflowPunct/>
        <w:topLinePunct w:val="0"/>
        <w:autoSpaceDE/>
        <w:autoSpaceDN/>
        <w:bidi w:val="0"/>
        <w:adjustRightInd/>
        <w:snapToGrid/>
        <w:spacing w:line="560" w:lineRule="exact"/>
        <w:textAlignment w:val="auto"/>
      </w:pPr>
      <w:r>
        <w:rPr>
          <w:sz w:val="0"/>
          <w:szCs w:val="0"/>
        </w:rPr>
        <w:br w:type="page"/>
      </w:r>
    </w:p>
    <w:p>
      <w:pPr>
        <w:keepNext w:val="0"/>
        <w:keepLines w:val="0"/>
        <w:pageBreakBefore w:val="0"/>
        <w:widowControl/>
        <w:kinsoku/>
        <w:wordWrap/>
        <w:overflowPunct/>
        <w:topLinePunct w:val="0"/>
        <w:autoSpaceDE/>
        <w:autoSpaceDN/>
        <w:bidi w:val="0"/>
        <w:adjustRightInd/>
        <w:snapToGrid/>
        <w:spacing w:line="560" w:lineRule="exact"/>
        <w:jc w:val="center"/>
        <w:textAlignment w:val="auto"/>
        <w:outlineLvl w:val="0"/>
        <w:rPr>
          <w:rFonts w:ascii="黑体" w:eastAsia="黑体"/>
          <w:sz w:val="32"/>
          <w:szCs w:val="32"/>
        </w:rPr>
      </w:pPr>
      <w:r>
        <w:rPr>
          <w:rFonts w:ascii="黑体" w:eastAsia="黑体"/>
          <w:sz w:val="32"/>
          <w:szCs w:val="32"/>
        </w:rPr>
        <w:t>第二部分</w:t>
      </w:r>
      <w:r>
        <w:rPr>
          <w:rFonts w:hint="default" w:ascii="黑体" w:eastAsia="黑体"/>
          <w:sz w:val="32"/>
          <w:szCs w:val="32"/>
          <w:lang w:val="en-US"/>
        </w:rPr>
        <w:t xml:space="preserve"> </w:t>
      </w:r>
      <w:r>
        <w:rPr>
          <w:rFonts w:ascii="黑体" w:eastAsia="黑体"/>
          <w:sz w:val="32"/>
          <w:szCs w:val="32"/>
        </w:rPr>
        <w:t>部门决算情况说明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rPr>
      </w:pPr>
      <w:r>
        <w:rPr>
          <w:rFonts w:ascii="黑体" w:eastAsia="黑体"/>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2024年度收入总计7,567.36万元，其中：本年收入合计5,574.63万元，使用非财政拨款结余（含专用结余）0.00万元，年初结转和结余1,992.73万元。</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2024年度支出总计7,567.36万元，其中：本年支出合计4,449.08万元，结余分配0.00万元，年末结转和结余3,118.28万元。</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收入支出总体与上年相比，增加2,079.95万元，增长37.90%，主要原因是：由于本年科研项目立项数量和经费支持力度增加，以及项目开展实验研究内容较多，项目经费支出同比增大。</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rPr>
      </w:pPr>
      <w:r>
        <w:rPr>
          <w:rFonts w:ascii="黑体" w:eastAsia="黑体"/>
          <w:sz w:val="32"/>
          <w:szCs w:val="32"/>
        </w:rPr>
        <w:t>二、收入决算情况说明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本年收入5,574.63万元，其中：财政拨款收入2,566.75万元,占46.04%；上级补助收入0.00万元,占0.00%；事业收入0.00万元，占0.00%；经营收入0.00万元,占0.00%；附属单位上缴收入0.00万元，占0.00%；其他收入3,007.88万元，占53.96%。</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rPr>
      </w:pPr>
      <w:r>
        <w:rPr>
          <w:rFonts w:ascii="黑体" w:eastAsia="黑体"/>
          <w:sz w:val="32"/>
          <w:szCs w:val="32"/>
        </w:rPr>
        <w:t>三、支出决算情况说明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本年支出4,449.08万元，其中：基本支出1,700.42万元，占38.22%；项目支出2,748.66万元，占61.78%；上缴上级支出0.00万元，占0.00%；经营支出0.00万元，占0.00%；对附属单位补助支出0.00万元，占0.00%。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rPr>
      </w:pPr>
      <w:r>
        <w:rPr>
          <w:rFonts w:ascii="黑体" w:eastAsia="黑体"/>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财政拨款收入总计2,566.75万元，其中：年初财政拨款结转和结余0.00万元，本年财政拨款收入2,566.75万元。财政拨款支出总计2,566.75万元，其中：年末财政拨款结转和结余0.00万元，本年财政拨款支出2,566.75万元。</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财政拨款收入支出总体与上年相比，增加210.93万元，增长8.95%，主要原因是：</w:t>
      </w:r>
      <w:r>
        <w:rPr>
          <w:rFonts w:hint="eastAsia" w:ascii="仿宋_GB2312" w:eastAsia="仿宋_GB2312"/>
          <w:sz w:val="32"/>
          <w:szCs w:val="32"/>
          <w:lang w:eastAsia="zh-CN"/>
        </w:rPr>
        <w:t>本年</w:t>
      </w:r>
      <w:r>
        <w:rPr>
          <w:rFonts w:ascii="仿宋_GB2312" w:eastAsia="仿宋_GB2312"/>
          <w:sz w:val="32"/>
          <w:szCs w:val="32"/>
        </w:rPr>
        <w:t>追加天山英才培养计划项目、智力援疆创新拓展人才计划项目、科研创新平台人才计划团队项目、中医药（民族医）药专项等经费。与年初预算相比，年初预算数1,861.13万元，决算数2,566.75万元，预决算差异率37.91%，主要原因是：本年追加天山英才培养计划项目、智力援疆创新拓展人才计划项目、科研创新平台人才计划团队项目、中医药（民族医）药专项等经费，在研期间根据项目执行期、实施进度和开展内容，项目支出较上年增加。</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rPr>
      </w:pPr>
      <w:r>
        <w:rPr>
          <w:rFonts w:ascii="黑体" w:eastAsia="黑体"/>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outlineLvl w:val="2"/>
        <w:rPr>
          <w:rFonts w:ascii="黑体" w:eastAsia="黑体"/>
          <w:sz w:val="32"/>
          <w:szCs w:val="32"/>
        </w:rPr>
      </w:pPr>
      <w:r>
        <w:rPr>
          <w:rFonts w:ascii="黑体" w:eastAsia="黑体"/>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一般公共预算财政拨款支出2,566.75万元，占本年支出合计的57.69%。与上年相比，增加210.93万元，增长8.95%，主要原因是：本年追加年度考核奖、政策性调资、在职转退休人员职业年金、去世职工丧葬费抚恤金等人员经费和天山英才培养计划项目、智力援疆创新拓展人才计划项目、科研创新平台人才计划团队项目、中医药（民族医）药专项等项目支出收入较上年增加，财政拨款支出同比增加。与年初预算相比，年初预算数1,861.13万元，决算数2,566.75万元，预决算差异率37.91%，主要原因是：本年追加年度考核奖、政策性调资、在职转退休人员职业年金、去世职工丧葬费抚恤金等人员经费，以及天山英才培养计划项目、智力援疆创新拓展人才计划项目、科研创新平台人才计划团队项目、中医药（民族医）药专项等</w:t>
      </w:r>
      <w:r>
        <w:rPr>
          <w:rFonts w:hint="eastAsia" w:ascii="仿宋_GB2312" w:eastAsia="仿宋_GB2312"/>
          <w:sz w:val="32"/>
          <w:szCs w:val="32"/>
          <w:lang w:eastAsia="zh-CN"/>
        </w:rPr>
        <w:t>项目</w:t>
      </w:r>
      <w:r>
        <w:rPr>
          <w:rFonts w:ascii="仿宋_GB2312" w:eastAsia="仿宋_GB2312"/>
          <w:sz w:val="32"/>
          <w:szCs w:val="32"/>
        </w:rPr>
        <w:t>。</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outlineLvl w:val="2"/>
        <w:rPr>
          <w:rFonts w:ascii="黑体" w:eastAsia="黑体"/>
          <w:sz w:val="32"/>
          <w:szCs w:val="32"/>
        </w:rPr>
      </w:pPr>
      <w:r>
        <w:rPr>
          <w:rFonts w:ascii="黑体" w:eastAsia="黑体"/>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科学技术支出（类）2,129.75万元，占82.97%。</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社会保障和就业支出（类）45.00万元，占1.75%。</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卫生健康支出（类）392.00万元，占15.27%。</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outlineLvl w:val="2"/>
        <w:rPr>
          <w:rFonts w:ascii="黑体" w:eastAsia="黑体"/>
          <w:sz w:val="32"/>
          <w:szCs w:val="32"/>
        </w:rPr>
      </w:pPr>
      <w:r>
        <w:rPr>
          <w:rFonts w:ascii="黑体" w:eastAsia="黑体"/>
          <w:b/>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1、科学技术支出（类）基础研究（款）自然科学基金（项）：支出决算数为0.00万元，比上年决算减少310.00万元，下降100.00%，主要原因是：本年无自然科学基金</w:t>
      </w:r>
      <w:r>
        <w:rPr>
          <w:rFonts w:hint="eastAsia" w:ascii="仿宋_GB2312" w:eastAsia="仿宋_GB2312"/>
          <w:sz w:val="32"/>
          <w:szCs w:val="32"/>
          <w:lang w:eastAsia="zh-CN"/>
        </w:rPr>
        <w:t>项目支出</w:t>
      </w:r>
      <w:r>
        <w:rPr>
          <w:rFonts w:ascii="仿宋_GB2312" w:eastAsia="仿宋_GB2312"/>
          <w:sz w:val="32"/>
          <w:szCs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2、科学技术支出（类）基础研究（款）科技人才队伍建设（项）：支出决算数为429.33万元，比上年决算增加429.33万元，增长100.00%，主要原因是：本年</w:t>
      </w:r>
      <w:r>
        <w:rPr>
          <w:rFonts w:hint="eastAsia" w:ascii="仿宋_GB2312" w:eastAsia="仿宋_GB2312"/>
          <w:sz w:val="32"/>
          <w:szCs w:val="32"/>
          <w:lang w:eastAsia="zh-CN"/>
        </w:rPr>
        <w:t>追加天山英才</w:t>
      </w:r>
      <w:r>
        <w:rPr>
          <w:rFonts w:ascii="仿宋_GB2312" w:eastAsia="仿宋_GB2312"/>
          <w:sz w:val="32"/>
          <w:szCs w:val="32"/>
        </w:rPr>
        <w:t>项目经费，科技人才队伍建设支出增加。</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3、科学技术支出（类）应用研究（款）机构运行（项）：支出决算数为1,700.42万元，比上年决算增加8.39万元，增长0.50%，主要原因是：本年</w:t>
      </w:r>
      <w:r>
        <w:rPr>
          <w:rFonts w:hint="eastAsia" w:ascii="仿宋_GB2312" w:eastAsia="仿宋_GB2312"/>
          <w:sz w:val="32"/>
          <w:szCs w:val="32"/>
          <w:lang w:eastAsia="zh-CN"/>
        </w:rPr>
        <w:t>人员岗位变动，相应人员经费及公用经费</w:t>
      </w:r>
      <w:r>
        <w:rPr>
          <w:rFonts w:ascii="仿宋_GB2312" w:eastAsia="仿宋_GB2312"/>
          <w:sz w:val="32"/>
          <w:szCs w:val="32"/>
        </w:rPr>
        <w:t>增加，机构运行</w:t>
      </w:r>
      <w:r>
        <w:rPr>
          <w:rFonts w:hint="eastAsia" w:ascii="仿宋_GB2312" w:eastAsia="仿宋_GB2312"/>
          <w:sz w:val="32"/>
          <w:szCs w:val="32"/>
          <w:lang w:eastAsia="zh-CN"/>
        </w:rPr>
        <w:t>经费</w:t>
      </w:r>
      <w:r>
        <w:rPr>
          <w:rFonts w:ascii="仿宋_GB2312" w:eastAsia="仿宋_GB2312"/>
          <w:sz w:val="32"/>
          <w:szCs w:val="32"/>
        </w:rPr>
        <w:t>同比增加。</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4、社会保障和就业支出（类）人力资源和社会保障管理事务（款）其他人力资源和社会保障管理事务支出（项）：支出决算数为45.00万元，比上年决算增加45.00万元，增长100.00%，主要原因是：本年</w:t>
      </w:r>
      <w:r>
        <w:rPr>
          <w:rFonts w:hint="eastAsia" w:ascii="仿宋_GB2312" w:eastAsia="仿宋_GB2312"/>
          <w:sz w:val="32"/>
          <w:szCs w:val="32"/>
          <w:lang w:eastAsia="zh-CN"/>
        </w:rPr>
        <w:t>追加</w:t>
      </w:r>
      <w:r>
        <w:rPr>
          <w:rFonts w:ascii="仿宋_GB2312" w:eastAsia="仿宋_GB2312"/>
          <w:sz w:val="32"/>
          <w:szCs w:val="32"/>
        </w:rPr>
        <w:t>其他人力资源和社会保障管理事务支出项目，支出同比增加。</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5、卫生健康支出（类）卫生健康管理事务（款）其他卫生健康管理事务支出（项）：支出决算数为6.00万元，比上年决算增加6.00万元，增长100.00%，主要原因是：本年</w:t>
      </w:r>
      <w:r>
        <w:rPr>
          <w:rFonts w:hint="eastAsia" w:ascii="仿宋_GB2312" w:eastAsia="仿宋_GB2312"/>
          <w:sz w:val="32"/>
          <w:szCs w:val="32"/>
          <w:lang w:eastAsia="zh-CN"/>
        </w:rPr>
        <w:t>追加</w:t>
      </w:r>
      <w:r>
        <w:rPr>
          <w:rFonts w:ascii="仿宋_GB2312" w:eastAsia="仿宋_GB2312"/>
          <w:sz w:val="32"/>
          <w:szCs w:val="32"/>
        </w:rPr>
        <w:t>其他卫生健康管理事务支出项目，支出同比增加。</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6、卫生健康支出（类）中医药（款）中医（民族医）药专项（项）：支出决算数为0.00万元，比上年决算减少353.78万元，下降100.00%，主要原因是：本年无卫生健康支出（类）中医药（款）中医（民族医）药专项（项）项目。</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7、卫生健康支出（类）中医药事务（款）中医（民族医）药专项（项）：支出决算数为316.00万元，比上年决算增加316.00万元，增长100.00%，主要原因是：本年</w:t>
      </w:r>
      <w:r>
        <w:rPr>
          <w:rFonts w:hint="eastAsia" w:ascii="仿宋_GB2312" w:eastAsia="仿宋_GB2312"/>
          <w:sz w:val="32"/>
          <w:szCs w:val="32"/>
          <w:lang w:eastAsia="zh-CN"/>
        </w:rPr>
        <w:t>追加</w:t>
      </w:r>
      <w:r>
        <w:rPr>
          <w:rFonts w:ascii="仿宋_GB2312" w:eastAsia="仿宋_GB2312"/>
          <w:sz w:val="32"/>
          <w:szCs w:val="32"/>
        </w:rPr>
        <w:t>中医（民族医）药专项项目，支出同比增加。</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8、卫生健康支出（类）其他卫生健康支出（款）其他卫生健康支出（项）：支出决算数为70.00万元，比上年决算增加70.00万元，增长100.00%，主要原因是：本年</w:t>
      </w:r>
      <w:r>
        <w:rPr>
          <w:rFonts w:hint="eastAsia" w:ascii="仿宋_GB2312" w:eastAsia="仿宋_GB2312"/>
          <w:sz w:val="32"/>
          <w:szCs w:val="32"/>
          <w:lang w:eastAsia="zh-CN"/>
        </w:rPr>
        <w:t>追加</w:t>
      </w:r>
      <w:r>
        <w:rPr>
          <w:rFonts w:ascii="仿宋_GB2312" w:eastAsia="仿宋_GB2312"/>
          <w:sz w:val="32"/>
          <w:szCs w:val="32"/>
        </w:rPr>
        <w:t>其他卫生健康支出项目，支出同比增加。</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rPr>
      </w:pPr>
      <w:r>
        <w:rPr>
          <w:rFonts w:ascii="黑体" w:eastAsia="黑体"/>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一般公共预算财政拨款基本支出1,700.42万元，其中：人员经费1,600.77万元，包括：基本工资、津贴补贴、奖金、绩效工资、机关事业单位基本养老保险缴费、职业年金缴费、职工基本医疗保险缴费、公务员医疗补助缴费、其他社会保障缴费、住房公积金、其他工资福利支出、退休费、抚恤金和其他对个人和家庭的补助。</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公用经费99.65万元，包括：办公费、水费、电费、邮电费、取暖费、物业管理费、差旅费、公务接待费、工会经费、福利费、公务用车运行维护费、其他交通费用和其他商品和服务支出。</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rPr>
      </w:pPr>
      <w:r>
        <w:rPr>
          <w:rFonts w:ascii="黑体" w:eastAsia="黑体"/>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rPr>
      </w:pPr>
      <w:r>
        <w:rPr>
          <w:rFonts w:ascii="黑体" w:eastAsia="黑体"/>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rPr>
      </w:pPr>
      <w:r>
        <w:rPr>
          <w:rFonts w:ascii="黑体" w:eastAsia="黑体"/>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2024年度财政拨款“三公”经费支出1.55万元，比上年减少1.25万元，下降44.64%，主要原因是：本年严格执行</w:t>
      </w:r>
      <w:r>
        <w:rPr>
          <w:rFonts w:hint="eastAsia" w:ascii="仿宋_GB2312" w:eastAsia="仿宋_GB2312"/>
          <w:sz w:val="32"/>
          <w:szCs w:val="32"/>
          <w:lang w:eastAsia="zh-CN"/>
        </w:rPr>
        <w:t>“</w:t>
      </w:r>
      <w:r>
        <w:rPr>
          <w:rFonts w:ascii="仿宋_GB2312" w:eastAsia="仿宋_GB2312"/>
          <w:sz w:val="32"/>
          <w:szCs w:val="32"/>
        </w:rPr>
        <w:t>三公</w:t>
      </w:r>
      <w:r>
        <w:rPr>
          <w:rFonts w:hint="eastAsia" w:ascii="仿宋_GB2312" w:eastAsia="仿宋_GB2312"/>
          <w:sz w:val="32"/>
          <w:szCs w:val="32"/>
          <w:lang w:eastAsia="zh-CN"/>
        </w:rPr>
        <w:t>”</w:t>
      </w:r>
      <w:r>
        <w:rPr>
          <w:rFonts w:ascii="仿宋_GB2312" w:eastAsia="仿宋_GB2312"/>
          <w:sz w:val="32"/>
          <w:szCs w:val="32"/>
        </w:rPr>
        <w:t>经费预算，按照厉行节约的原则，加强公务用车管理，减少公车出行，其次，严格控制使用公务接待频次。其中：因公出国（境）费支出0.00万元,占0.00%，与上年相比无变化，主要原因是：</w:t>
      </w:r>
      <w:r>
        <w:rPr>
          <w:rFonts w:hint="eastAsia" w:ascii="仿宋_GB2312" w:eastAsia="仿宋_GB2312"/>
          <w:sz w:val="32"/>
          <w:szCs w:val="32"/>
        </w:rPr>
        <w:t>我单位2023年度与2024年度均未安排因公出国（境）费</w:t>
      </w:r>
      <w:r>
        <w:rPr>
          <w:rFonts w:ascii="仿宋_GB2312" w:eastAsia="仿宋_GB2312"/>
          <w:sz w:val="32"/>
          <w:szCs w:val="32"/>
        </w:rPr>
        <w:t>；公务用车购置及运行维护费支出1.44万元，占92.90%，比上年减少1.22万元，下降45.86%，主要原因是：本年严格执行“三公”经费预算，按照厉行节约的原则，加强公务用车管理，减少公车出行；公务接待费支出0.11万元，占7.10%，比上年减少0.04万元，下降26.67%，主要原因是：本年严格执行“三公”经费预算，按照厉行节约的原则，严格控制使用公务接待频次。</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具体情况如下：</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因公出国（境）费支出0.00万元，开支内容包括我单位无因公出国（境）费。单位全年安排的因公出国（境）团组0个，因公出国（境）0人次。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公务用车购置及运行维护费1.44万元，其中：公务用车购置费0.00万元，公务用车运行维护费1.44万元。公务用车运行维护费开支内容包括车辆维修费、车辆保险费、车辆燃油费。公务用车购置数0辆，公务用车保有量1辆。国有资产占用情况中固定资产车辆1辆，与公务用车保有量差异原因是：我单位与公务用车保有量无差异。</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公务接待费0.11万元，开支内容包括接待疆外专家来疆调研考察。单位全年安排的国内公务接待3批次，13人次。</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与全年预算相比，财政拨款“三公”经费支出全年预算数1.55万元，决算数1.55万元，预决算差异率0.00%，主要原因是：本年严格执行“三公”经费预算，按照厉行节约的原则，加强公务用车管理，减少公车出行，其次，严格控制使用公务接待频次。其中：因公出国（境）费全年预算数0.00万元，决算数0.00万元，预决算差异率0.00%，主要原因是：我单位无因公出国（境）费安排；公务用车购置费全年预算数0.00万元，决算数0.00万元，预决算差异率0.00%，主要原因是：我单位无公务用车购置费安排；公务用车运行维护费全年预算数1.44万元，决算数1.44万元，预决算差异率0.00%，主要原因是：本年严格执行“三公”经费预算，按照厉行节约的原则，加强公务用车管理，减少公车出行；公务接待费全年预算数0.11万元，决算数0.11万元，预决算差异率0.00%，主要原因是：本年严格执行“三公”经费预算，按照厉行节​约的原则，严格控制使用公务接待频次。</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rPr>
      </w:pPr>
      <w:r>
        <w:rPr>
          <w:rFonts w:ascii="黑体" w:eastAsia="黑体"/>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outlineLvl w:val="2"/>
        <w:rPr>
          <w:rFonts w:ascii="黑体" w:eastAsia="黑体"/>
          <w:sz w:val="32"/>
          <w:szCs w:val="32"/>
        </w:rPr>
      </w:pPr>
      <w:r>
        <w:rPr>
          <w:rFonts w:ascii="黑体" w:eastAsia="黑体"/>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新疆维吾尔自治区药物研究所单位（事业单位）公用经费支出99.65万元，比上年减少4.90万元，下降4.69%，主要原因是：本年退休3人，批准辞职1人，致使公用经费中福利费、工会经费、其他商品服务支出同比减少。</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outlineLvl w:val="2"/>
        <w:rPr>
          <w:rFonts w:ascii="黑体" w:eastAsia="黑体"/>
          <w:sz w:val="32"/>
          <w:szCs w:val="32"/>
        </w:rPr>
      </w:pPr>
      <w:r>
        <w:rPr>
          <w:rFonts w:ascii="黑体" w:eastAsia="黑体"/>
          <w:b/>
          <w:sz w:val="32"/>
          <w:szCs w:val="32"/>
        </w:rPr>
        <w:t>（二）政府采购情况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2024年度政府采购支出总额124.33万元，其中：政府采购货物支出124.33万元、政府采购工程支出0.00万元、政府采购服务支出0.00万元。</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授予中小企业合同金额124.33万元，占政府采购支出总额的100.00%，其中：授予小微企业合同金额124.33万元，占政府采购支出总额的100.00%。</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outlineLvl w:val="2"/>
        <w:rPr>
          <w:rFonts w:ascii="黑体" w:eastAsia="黑体"/>
          <w:sz w:val="32"/>
          <w:szCs w:val="32"/>
        </w:rPr>
      </w:pPr>
      <w:r>
        <w:rPr>
          <w:rFonts w:ascii="黑体" w:eastAsia="黑体"/>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截至2024年12月31日，房屋5,397.17平方米，价值1,719.01万元。车辆1辆，价值13.76万元，其中：副部（省）级及以上领导用车0辆、主要负责人用车0辆、机要通信用车0辆、应急保障用车0辆、执法执勤用车0辆、特种专业技术用车0辆、离退休干部服务用车0辆、其他用车1辆，其他用车主要是：用于运实验材料及实验动物;单价100万元（含）以上设备（不含车辆）0台。</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rPr>
      </w:pPr>
      <w:r>
        <w:rPr>
          <w:rFonts w:ascii="黑体" w:eastAsia="黑体"/>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根据预算绩效管理要求，本单位2024年度预算绩效评价项目1个，全年预算数900.00万元，全年执行数900.00万元。预算绩效管理取得的成效：一是申请专利1项；二是完成实验报告5份；三是承担技术服务项目5项；四是人才培养3人；五是发表论文5篇。发现的问题及原因：一是存在绩效管理意识比较薄弱；二是工作缺乏主动性和积极性，预算绩效跟踪不及时、不到位等问题。下一步改进措施：一是应继续增强绩效管理理念；二是高度重视项目绩效管理工作，加强与各部门的协调和沟通，强化过程管理，提高服务水平，不断提高资金使用效益。具体附部门整体支出绩效自评表，项目支出绩效自评表和部门评价报告。</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rPr>
      </w:pPr>
      <w:r>
        <w:rPr>
          <w:rFonts w:ascii="黑体" w:eastAsia="黑体"/>
          <w:sz w:val="32"/>
          <w:szCs w:val="32"/>
        </w:rPr>
        <w:t>十二、其他需说明的事项</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line="560" w:lineRule="exact"/>
        <w:textAlignment w:val="auto"/>
      </w:pPr>
      <w:r>
        <w:rPr>
          <w:sz w:val="0"/>
          <w:szCs w:val="0"/>
        </w:rPr>
        <w:br w:type="page"/>
      </w:r>
    </w:p>
    <w:p>
      <w:pPr>
        <w:keepNext w:val="0"/>
        <w:keepLines w:val="0"/>
        <w:pageBreakBefore w:val="0"/>
        <w:widowControl/>
        <w:kinsoku/>
        <w:wordWrap/>
        <w:overflowPunct/>
        <w:topLinePunct w:val="0"/>
        <w:autoSpaceDE/>
        <w:autoSpaceDN/>
        <w:bidi w:val="0"/>
        <w:adjustRightInd/>
        <w:snapToGrid/>
        <w:spacing w:line="560" w:lineRule="exact"/>
        <w:jc w:val="center"/>
        <w:textAlignment w:val="auto"/>
        <w:outlineLvl w:val="0"/>
        <w:rPr>
          <w:rFonts w:ascii="黑体" w:eastAsia="黑体"/>
          <w:sz w:val="32"/>
          <w:szCs w:val="32"/>
        </w:rPr>
      </w:pPr>
      <w:r>
        <w:rPr>
          <w:rFonts w:ascii="黑体" w:eastAsia="黑体"/>
          <w:sz w:val="32"/>
          <w:szCs w:val="32"/>
        </w:rPr>
        <w:t>第三部分</w:t>
      </w:r>
      <w:r>
        <w:rPr>
          <w:rFonts w:hint="default" w:ascii="黑体" w:eastAsia="黑体"/>
          <w:sz w:val="32"/>
          <w:szCs w:val="32"/>
          <w:lang w:val="en-US"/>
        </w:rPr>
        <w:t xml:space="preserve"> </w:t>
      </w:r>
      <w:r>
        <w:rPr>
          <w:rFonts w:ascii="黑体" w:eastAsia="黑体"/>
          <w:sz w:val="32"/>
          <w:szCs w:val="32"/>
        </w:rPr>
        <w:t>专业名词解释</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pPr>
      <w:r>
        <w:rPr>
          <w:sz w:val="0"/>
          <w:szCs w:val="0"/>
        </w:rPr>
        <w:br w:type="page"/>
      </w:r>
    </w:p>
    <w:p>
      <w:pPr>
        <w:keepNext w:val="0"/>
        <w:keepLines w:val="0"/>
        <w:pageBreakBefore w:val="0"/>
        <w:widowControl/>
        <w:kinsoku/>
        <w:wordWrap/>
        <w:overflowPunct/>
        <w:topLinePunct w:val="0"/>
        <w:autoSpaceDE/>
        <w:autoSpaceDN/>
        <w:bidi w:val="0"/>
        <w:adjustRightInd/>
        <w:snapToGrid/>
        <w:spacing w:line="560" w:lineRule="exact"/>
        <w:jc w:val="center"/>
        <w:textAlignment w:val="auto"/>
        <w:outlineLvl w:val="0"/>
        <w:rPr>
          <w:rFonts w:ascii="黑体" w:eastAsia="黑体"/>
          <w:sz w:val="32"/>
          <w:szCs w:val="32"/>
        </w:rPr>
      </w:pPr>
      <w:r>
        <w:rPr>
          <w:rFonts w:ascii="黑体" w:eastAsia="黑体"/>
          <w:sz w:val="32"/>
          <w:szCs w:val="32"/>
        </w:rPr>
        <w:t>第四部分</w:t>
      </w:r>
      <w:r>
        <w:rPr>
          <w:rFonts w:hint="default" w:ascii="黑体" w:eastAsia="黑体"/>
          <w:sz w:val="32"/>
          <w:szCs w:val="32"/>
          <w:lang w:val="en-US"/>
        </w:rPr>
        <w:t xml:space="preserve"> </w:t>
      </w:r>
      <w:bookmarkStart w:id="0" w:name="_GoBack"/>
      <w:bookmarkEnd w:id="0"/>
      <w:r>
        <w:rPr>
          <w:rFonts w:ascii="黑体" w:eastAsia="黑体"/>
          <w:sz w:val="32"/>
          <w:szCs w:val="32"/>
        </w:rPr>
        <w:t>部门决算报表（见附表）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一、《收入支出决算总表》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二、《收入决算表》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三、《支出决算表》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1"/>
        <w:rPr>
          <w:rFonts w:ascii="仿宋_GB2312" w:eastAsia="仿宋_GB2312"/>
          <w:sz w:val="32"/>
          <w:szCs w:val="32"/>
        </w:rPr>
      </w:pPr>
      <w:r>
        <w:rPr>
          <w:rFonts w:ascii="仿宋_GB2312" w:eastAsia="仿宋_GB2312"/>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roma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8EB"/>
    <w:rsid w:val="00244FBE"/>
    <w:rsid w:val="009658EB"/>
    <w:rsid w:val="0D2A4DF6"/>
    <w:rsid w:val="154A0FDE"/>
    <w:rsid w:val="682C1C2B"/>
    <w:rsid w:val="72180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页眉 Char"/>
    <w:basedOn w:val="13"/>
    <w:link w:val="8"/>
    <w:qFormat/>
    <w:uiPriority w:val="99"/>
  </w:style>
  <w:style w:type="character" w:customStyle="1" w:styleId="17">
    <w:name w:val="标题 1 Char"/>
    <w:basedOn w:val="13"/>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8">
    <w:name w:val="标题 2 Char"/>
    <w:basedOn w:val="13"/>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标题 3 Char"/>
    <w:basedOn w:val="13"/>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标题 4 Char"/>
    <w:basedOn w:val="13"/>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副标题 Char"/>
    <w:basedOn w:val="13"/>
    <w:link w:val="9"/>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标题 Char"/>
    <w:basedOn w:val="13"/>
    <w:link w:val="10"/>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1051</Words>
  <Characters>5996</Characters>
  <Lines>49</Lines>
  <Paragraphs>14</Paragraphs>
  <TotalTime>2</TotalTime>
  <ScaleCrop>false</ScaleCrop>
  <LinksUpToDate>false</LinksUpToDate>
  <CharactersWithSpaces>7033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2025-08-20T08:53:00Z</dcterms:created>
  <dc:creator>lenovo</dc:creator>
  <cp:lastModifiedBy>Administrator</cp:lastModifiedBy>
  <dcterms:modified xsi:type="dcterms:W3CDTF">2025-08-26T04:24:15Z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265E85B4A5C4496BBA1D2700FB04869A</vt:lpwstr>
  </property>
</Properties>
</file>