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新疆维吾尔自治区中医药研究院</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 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 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中医药研究院于2002年与新疆维吾尔自治区中医医院合并，是自治区中医医疗、教学、科研、保健、康复工作的主要基地和中医学术龙头单位，每年承担多项国家级、省级、卫生健康委员会、医科大学科研课题。2024年，在上级党委正确领导下，医院坚持以习近平新时代中国特色社会主义思想为指导，全面贯彻党的二十大精神和自治区党委十届历次全会精神，完整准确贯彻新时代党的治疆方略，认真贯彻落实上级党委安排部署，坚持以人民健康为中心，以高质量发展为主题，贯彻落实党和国家关于中医药工作的法律、法规和政策，围绕为全疆各族人民群众提供中医医疗、预防、保健、康复等医疗卫生服务；探索医联体建设新模式，与基层医疗机构建立紧密的合作关系，确保全疆各族群众健康需求；加强中医医院标准化管理；承担意外灾害事故、疫情等突发公共卫生事件的医疗救援及预防、保健和康复医疗服务工作；充分发挥中医药在国家基本公共卫生服务中的优势和作用，负责医院内部公共卫生服务中医药健康管理项目的实施和日常管理；组织实施中医药科学研究，推进医学科技成果转化和推广应用；承担中医药人才培养，中医药继续医学教育工作；拟订实施医院战略发展规划；承担全疆卫生医疗人员进修、技术指导和本科、研究生的教育教学工作；做好城镇居民基本医疗保险和新型农村合作医疗保险等定点医疗机构的各项工作；参与自治区卫生健康系统、新疆医科大学等各级上级部门卫生扶贫、重大活动的医疗卫生保障工作等职能，协同高效推进医教研各项工作，医院核心竞争力、文化软实力和综合实力全面提升，医院高质量发展步入</w:t>
      </w:r>
      <w:r>
        <w:rPr>
          <w:rFonts w:hint="eastAsia" w:ascii="仿宋_GB2312" w:eastAsia="仿宋_GB2312"/>
          <w:b w:val="0"/>
          <w:sz w:val="32"/>
          <w:szCs w:val="32"/>
          <w:lang w:eastAsia="zh-CN"/>
        </w:rPr>
        <w:t>“</w:t>
      </w:r>
      <w:r>
        <w:rPr>
          <w:rFonts w:ascii="仿宋_GB2312" w:eastAsia="仿宋_GB2312"/>
          <w:b w:val="0"/>
          <w:sz w:val="32"/>
          <w:szCs w:val="32"/>
        </w:rPr>
        <w:t>快车道</w:t>
      </w:r>
      <w:r>
        <w:rPr>
          <w:rFonts w:hint="eastAsia" w:ascii="仿宋_GB2312" w:eastAsia="仿宋_GB2312"/>
          <w:b w:val="0"/>
          <w:sz w:val="32"/>
          <w:szCs w:val="32"/>
          <w:lang w:eastAsia="zh-CN"/>
        </w:rPr>
        <w:t>”</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新疆维吾尔自治区中医药研究院2024年度，实有人数179人，其中：在职人员100人，增加2人；离休人员0人，较上年无变化；退休人员79人，增加4人。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新疆维吾尔自治区中医药研究院无下属预算单位，下设5个处室，分别是：组织人事部、财务部、护理部、党委（医院）办公室、医务部。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2024年度收入总计8,086.27万元，其中：本年收入合计6,564.25万元，使用非财政拨款结余（含专用结余）0.00万元，年初结转和结余1,522.02万元。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2024年度支出总计8,086.27万元，其中：本年支出合计5,782.90万元，结余分配0.00万元，年末结转和结余2,303.37万元。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1,944.13万元，增长31.65%，主要原因是：2023年度收入支出总计6,142.14万元，2024年度收入支出总计8,086.27万元，其中：一般公共预算财政拨款收入的增加，主要是由于年度中追加的项目经费和增资；非财政拨款收入的增加，</w:t>
      </w:r>
      <w:r>
        <w:rPr>
          <w:rFonts w:hint="eastAsia" w:ascii="仿宋_GB2312" w:eastAsia="仿宋_GB2312"/>
          <w:b w:val="0"/>
          <w:sz w:val="32"/>
          <w:szCs w:val="32"/>
          <w:lang w:eastAsia="zh-CN"/>
        </w:rPr>
        <w:t>主要为</w:t>
      </w:r>
      <w:r>
        <w:rPr>
          <w:rFonts w:ascii="仿宋_GB2312" w:eastAsia="仿宋_GB2312"/>
          <w:b w:val="0"/>
          <w:sz w:val="32"/>
          <w:szCs w:val="32"/>
        </w:rPr>
        <w:t>中医药研究院科研领域的拓展和科研项目的增加。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6,564.25万元，其中：财政拨款收入4,090.33万元,占62.31%；上级补助收入0.00万元,占0.00%；事业收入1,925.80万元，占29.34%；经营收入0.00万元,占0.00%；附属单位上缴收入0.00万元，占0.00%；其他收入548.12万元，占8.35%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本年支出5,782.90万元，其中：基本支出2,928.24万元，占50.64%；项目支出2,854.66万元，占49.36%；上缴上级支出0.00万元，占0.00%；经营支出0.00万元，占0.00%；对附属单位补助支出0.00万元，占0.00%。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4,095.05万元，其中：年初财政拨款结转和结余4.72万元，本年财政拨款收入4,090.33万元。财政拨款支出总计4,095.05万元，其中：年末财政拨款结转和结余0.00万元，本年财政拨款支出4,095.05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财政拨款收入支出总体与上年相比，增加624.10万元，增长17.98%，主要原因是</w:t>
      </w:r>
      <w:r>
        <w:rPr>
          <w:rFonts w:ascii="仿宋_GB2312" w:eastAsia="仿宋_GB2312" w:hAnsiTheme="minorHAnsi" w:cstheme="minorBidi"/>
          <w:b w:val="0"/>
          <w:sz w:val="32"/>
          <w:szCs w:val="32"/>
        </w:rPr>
        <w:t>：</w:t>
      </w:r>
      <w:r>
        <w:rPr>
          <w:rFonts w:hint="eastAsia" w:ascii="仿宋_GB2312" w:eastAsia="仿宋_GB2312" w:hAnsiTheme="minorHAnsi" w:cstheme="minorBidi"/>
          <w:b w:val="0"/>
          <w:sz w:val="32"/>
          <w:szCs w:val="32"/>
          <w:lang w:eastAsia="zh-CN"/>
        </w:rPr>
        <w:t>人员增加相应基本支出增加</w:t>
      </w:r>
      <w:r>
        <w:rPr>
          <w:rFonts w:ascii="仿宋_GB2312" w:eastAsia="仿宋_GB2312" w:hAnsiTheme="minorHAnsi" w:cstheme="minorBidi"/>
          <w:b w:val="0"/>
          <w:sz w:val="32"/>
          <w:szCs w:val="32"/>
        </w:rPr>
        <w:t>；2024年医院申报财政补助项目较2023年增加4项。与年初</w:t>
      </w:r>
      <w:r>
        <w:rPr>
          <w:rFonts w:ascii="仿宋_GB2312" w:eastAsia="仿宋_GB2312"/>
          <w:b w:val="0"/>
          <w:sz w:val="32"/>
          <w:szCs w:val="32"/>
        </w:rPr>
        <w:t>预算相比，年初预算数2,865.95万元，决算数4,095.05万元，预决算差异率42.89%，主要原因是：</w:t>
      </w:r>
      <w:r>
        <w:rPr>
          <w:rFonts w:hint="eastAsia" w:ascii="仿宋_GB2312" w:eastAsia="仿宋_GB2312"/>
          <w:b w:val="0"/>
          <w:sz w:val="32"/>
          <w:szCs w:val="32"/>
          <w:lang w:eastAsia="zh-CN"/>
        </w:rPr>
        <w:t>人员工资调整，本年追加</w:t>
      </w:r>
      <w:r>
        <w:rPr>
          <w:rFonts w:ascii="仿宋_GB2312" w:eastAsia="仿宋_GB2312"/>
          <w:b w:val="0"/>
          <w:sz w:val="32"/>
          <w:szCs w:val="32"/>
        </w:rPr>
        <w:t>天山英才培养计划、科研创新平台人才团队支持计划两个项目。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2024年度一般公共预算财政拨款支出4,095.05万元，占本年支出合计的70.81%。与上年相比，增加628.82万元，增长18.14%，主要原因是：</w:t>
      </w:r>
      <w:r>
        <w:rPr>
          <w:rFonts w:hint="eastAsia" w:ascii="仿宋_GB2312" w:eastAsia="仿宋_GB2312" w:hAnsiTheme="minorHAnsi" w:cstheme="minorBidi"/>
          <w:b w:val="0"/>
          <w:sz w:val="32"/>
          <w:szCs w:val="32"/>
          <w:lang w:eastAsia="zh-CN"/>
        </w:rPr>
        <w:t>人员增加相应基本支出增加</w:t>
      </w:r>
      <w:r>
        <w:rPr>
          <w:rFonts w:ascii="仿宋_GB2312" w:eastAsia="仿宋_GB2312" w:hAnsiTheme="minorHAnsi" w:cstheme="minorBidi"/>
          <w:b w:val="0"/>
          <w:sz w:val="32"/>
          <w:szCs w:val="32"/>
        </w:rPr>
        <w:t>；2024年医院申报财政补助项目较2023年增加4项</w:t>
      </w:r>
      <w:r>
        <w:rPr>
          <w:rFonts w:ascii="仿宋_GB2312" w:eastAsia="仿宋_GB2312"/>
          <w:b w:val="0"/>
          <w:sz w:val="32"/>
          <w:szCs w:val="32"/>
        </w:rPr>
        <w:t>。与年初预算相比，年初预算数2,865.95万元，决算数4,095.05万元，预决算差异率42.89%，主要原因是：</w:t>
      </w:r>
      <w:r>
        <w:rPr>
          <w:rFonts w:hint="eastAsia" w:ascii="仿宋_GB2312" w:eastAsia="仿宋_GB2312"/>
          <w:b w:val="0"/>
          <w:sz w:val="32"/>
          <w:szCs w:val="32"/>
          <w:lang w:eastAsia="zh-CN"/>
        </w:rPr>
        <w:t>人员工资调整，本年追加</w:t>
      </w:r>
      <w:r>
        <w:rPr>
          <w:rFonts w:ascii="仿宋_GB2312" w:eastAsia="仿宋_GB2312"/>
          <w:b w:val="0"/>
          <w:sz w:val="32"/>
          <w:szCs w:val="32"/>
        </w:rPr>
        <w:t>天山英才培养计划、科研创新平台人才团队支持计划两个项目。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科学技术支出（类）4,095.05万元，占100.00%。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1、科学技术支出（类）基础研究（款）科技人才队伍建设（项）：支出决算数为1,162.15万元，比上年决算增加1,162.15万元，增长100.00%，主要原因是：2024年度</w:t>
      </w:r>
      <w:r>
        <w:rPr>
          <w:rFonts w:hint="eastAsia" w:ascii="仿宋_GB2312" w:eastAsia="仿宋_GB2312"/>
          <w:b w:val="0"/>
          <w:sz w:val="32"/>
          <w:szCs w:val="32"/>
          <w:lang w:eastAsia="zh-CN"/>
        </w:rPr>
        <w:t>追加</w:t>
      </w:r>
      <w:r>
        <w:rPr>
          <w:rFonts w:ascii="仿宋_GB2312" w:eastAsia="仿宋_GB2312"/>
          <w:b w:val="0"/>
          <w:sz w:val="32"/>
          <w:szCs w:val="32"/>
        </w:rPr>
        <w:t>天山英才培养计划</w:t>
      </w:r>
      <w:r>
        <w:rPr>
          <w:rFonts w:hint="eastAsia" w:ascii="仿宋_GB2312" w:eastAsia="仿宋_GB2312"/>
          <w:b w:val="0"/>
          <w:sz w:val="32"/>
          <w:szCs w:val="32"/>
          <w:lang w:eastAsia="zh-CN"/>
        </w:rPr>
        <w:t>和</w:t>
      </w:r>
      <w:r>
        <w:rPr>
          <w:rFonts w:ascii="仿宋_GB2312" w:eastAsia="仿宋_GB2312"/>
          <w:b w:val="0"/>
          <w:sz w:val="32"/>
          <w:szCs w:val="32"/>
        </w:rPr>
        <w:t>科研创新平台人才团队支持计划项目，科技人才队伍建设项支出</w:t>
      </w:r>
      <w:r>
        <w:rPr>
          <w:rFonts w:hint="eastAsia" w:ascii="仿宋_GB2312" w:eastAsia="仿宋_GB2312"/>
          <w:b w:val="0"/>
          <w:sz w:val="32"/>
          <w:szCs w:val="32"/>
          <w:lang w:eastAsia="zh-CN"/>
        </w:rPr>
        <w:t>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2、科学技术支出（类）应用研究（款）机构运行（项）：支出决算数为2,928.18万元，比上年决算增加182.23万元，增长6.64%，主要原因是：</w:t>
      </w:r>
      <w:r>
        <w:rPr>
          <w:rFonts w:hint="eastAsia" w:ascii="仿宋_GB2312" w:eastAsia="仿宋_GB2312"/>
          <w:b w:val="0"/>
          <w:sz w:val="32"/>
          <w:szCs w:val="32"/>
          <w:lang w:eastAsia="zh-CN"/>
        </w:rPr>
        <w:t>本年人员增加，机构运行费用相应增加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3、科学技术支出（类）其他科学技术支出（款）其他科学技术支出（项）：支出决算数为4.72万元，比上年决算减少715.56万元，下降99.34%，主要原因是：</w:t>
      </w:r>
      <w:r>
        <w:rPr>
          <w:rFonts w:hint="eastAsia" w:ascii="仿宋_GB2312" w:eastAsia="仿宋_GB2312"/>
          <w:b w:val="0"/>
          <w:sz w:val="32"/>
          <w:szCs w:val="32"/>
          <w:lang w:eastAsia="zh-CN"/>
        </w:rPr>
        <w:t>本年承担</w:t>
      </w:r>
      <w:r>
        <w:rPr>
          <w:rFonts w:ascii="仿宋_GB2312" w:eastAsia="仿宋_GB2312"/>
          <w:b w:val="0"/>
          <w:sz w:val="32"/>
          <w:szCs w:val="32"/>
        </w:rPr>
        <w:t>天山英才培养计划项目、科研创新平台人才团队</w:t>
      </w:r>
      <w:r>
        <w:rPr>
          <w:rFonts w:hint="eastAsia" w:ascii="仿宋_GB2312" w:eastAsia="仿宋_GB2312"/>
          <w:b w:val="0"/>
          <w:sz w:val="32"/>
          <w:szCs w:val="32"/>
          <w:lang w:eastAsia="zh-CN"/>
        </w:rPr>
        <w:t>项目经费减少，</w:t>
      </w:r>
      <w:r>
        <w:rPr>
          <w:rFonts w:ascii="仿宋_GB2312" w:eastAsia="仿宋_GB2312"/>
          <w:b w:val="0"/>
          <w:sz w:val="32"/>
          <w:szCs w:val="32"/>
        </w:rPr>
        <w:t>其他科学技术支出</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2,928.18万元，其中：人员经费2,669.40万元，包括：基本工资、津贴补贴、绩效工资、机关事业单位基本养老保险缴费、职业年金缴费、职工基本医疗保险缴费、公务员医疗补助缴费、其他社会保障缴费、住房公积金和退休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公用经费258.78万元，包括：办公费、水费、邮电费、取暖费、差旅费、工会经费、福利费和其他商品和服务支出。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0.00万元，与上年相比无变化，主要原因是：我单位2023年度与2024年度均未安排财政拨款“三公”经费支出。其中：因公出国（境）费支出0.00万元,占0.00%，与上年相比无变化，主要原因是：我单位2023年度与2024年度均未安排因公出国（境）费支出；公务用车购置及运行维护费支出0.00万元，占0.00%，与上年相比无变化，主要原因是：我单位2023年度与2024年度均未安排公务用车购置及运行维护费支出；公务接待费支出0.00万元，占0.00%，与上年相比无变化，主要原因是：我单位2023年度与2024年度均未安排公务接待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因公出国（境）费支出0.00万元，开支内容包括我单位未安排因公出国（境）费支出。单位全年安排的因公出国（境）团组0个，因公出国（境）0人次。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未安排无公务用车购置及运行维护费支出。公务用车购置数0辆，公务用车保有量0辆。国有资产占用情况中固定资产车辆0辆，与公务用车保有量差异原因是：我单位无车辆。</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公务接待费0.00万元，开支内容包括我单位未安排公务接待费支出。单位全年安排的国内公务接待0批次，0人次。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我单位未安排财政拨款“三公”经费支出。其中：因公出国（境）费全年预算数0.00万元，决算数0.00万元，预决算差异率0.00%，主要原因是：我单位未安排因公出国（境）费支出；公务用车购置费全年预算数0.00万元，决算数0.00万元，预决算差异率0.00%，主要原因是：我单位未安排公务用车购置支出；公务用车运行维护费全年预算数0.00万元，决算数0.00万元，预决算差异率0.00%，主要原因是：我单位未安排公务用车运行维护费支出；公务接待费全年预算数0.00万元，决算数0.00万元，预决算差异率0.00%，主要原因是：我单位未安排公务接待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2024年度新疆维吾尔自治区中医药研究院单位（事业单位）公用经费支出258.78万元，比上年增加38.13万元，增长17.28%，主要原因是：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年人员增加，相应公用经费支出增加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2024年度政府采购支出总额0.00万元，其中：政府采购货物支出0.00万元、政府采购工程支出0.00万元、政府采购服务支出0.00万元。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授予中小企业合同金额0.00万元，占政府采购支出总额的0.00%，其中：授予小微企业合同金额0.00万元，占政府采购支出总额的0.00%。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中医药研究院无</w:t>
      </w:r>
      <w:r>
        <w:rPr>
          <w:rFonts w:hint="eastAsia" w:ascii="仿宋_GB2312" w:eastAsia="仿宋_GB2312"/>
          <w:b w:val="0"/>
          <w:sz w:val="32"/>
          <w:szCs w:val="32"/>
          <w:lang w:eastAsia="zh-CN"/>
        </w:rPr>
        <w:t>其他</w:t>
      </w:r>
      <w:r>
        <w:rPr>
          <w:rFonts w:ascii="仿宋_GB2312" w:eastAsia="仿宋_GB2312"/>
          <w:b w:val="0"/>
          <w:sz w:val="32"/>
          <w:szCs w:val="32"/>
        </w:rPr>
        <w:t>车辆;单价100万元（含）以上设备（不含车辆）0台。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1,527.88万元，全年执行数1,527.88万元。预算绩效管理取得的成效：一是健全绩效管理工作机制，明确职责分工；二是加强事中绩效跟踪监控。发现的问题及原因：一是认识性不足；二是评价指标体系有待健全完善。下一步改进措施：一是提高认识；二是完善符合项目本身的指标体系。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rPr>
        <w:t>2024年度本单位政府采购支出总额为0.00万元，授予中小企业合同金额、授予小微企业合同金额0.00万元。</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A2620E"/>
    <w:rsid w:val="5F2A69DD"/>
    <w:rsid w:val="604020EB"/>
    <w:rsid w:val="717D1A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2025-08-22T03:25:00Z</dcterms:created>
  <dc:creator>Administrator</dc:creator>
  <cp:lastModifiedBy>Administrator</cp:lastModifiedBy>
  <dcterms:modified xsi:type="dcterms:W3CDTF">2025-08-25T12:04:33Z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62B5AC577E5D4A32BB7A4D9F625E01D4</vt:lpwstr>
  </property>
</Properties>
</file>