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hint="eastAsia" w:ascii="宋体" w:eastAsia="宋体"/>
          <w:sz w:val="32"/>
          <w:szCs w:val="32"/>
          <w:lang w:eastAsia="zh-CN"/>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宋体" w:eastAsia="黑体"/>
          <w:sz w:val="44"/>
          <w:szCs w:val="44"/>
        </w:rPr>
      </w:pPr>
      <w:r>
        <w:rPr>
          <w:rFonts w:ascii="宋体" w:eastAsia="黑体"/>
          <w:b w:val="0"/>
          <w:sz w:val="44"/>
          <w:szCs w:val="44"/>
        </w:rPr>
        <w:t>新疆维吾尔自治区葡萄瓜果研究所</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44"/>
          <w:szCs w:val="44"/>
        </w:rPr>
      </w:pPr>
      <w:r>
        <w:rPr>
          <w:rFonts w:ascii="黑体" w:eastAsia="黑体"/>
          <w:b w:val="0"/>
          <w:sz w:val="44"/>
          <w:szCs w:val="44"/>
        </w:rPr>
        <w:t>2024年度部门决算公开说明</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rPr>
          <w:rFonts w:ascii="黑体" w:eastAsia="黑体"/>
          <w:sz w:val="32"/>
          <w:szCs w:val="32"/>
        </w:rPr>
      </w:pPr>
      <w:r>
        <w:rPr>
          <w:rFonts w:ascii="黑体" w:eastAsia="黑体"/>
          <w:b/>
          <w:sz w:val="32"/>
          <w:szCs w:val="32"/>
        </w:rPr>
        <w:t>目</w:t>
      </w:r>
      <w:r>
        <w:rPr>
          <w:rFonts w:hint="default" w:ascii="黑体" w:eastAsia="黑体"/>
          <w:b/>
          <w:sz w:val="32"/>
          <w:szCs w:val="32"/>
          <w:lang w:val="en-US"/>
        </w:rPr>
        <w:t xml:space="preserve">  </w:t>
      </w:r>
      <w:r>
        <w:rPr>
          <w:rFonts w:ascii="黑体" w:eastAsia="黑体"/>
          <w:b/>
          <w:sz w:val="32"/>
          <w:szCs w:val="32"/>
        </w:rPr>
        <w:t>录</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第一部分</w:t>
      </w:r>
      <w:r>
        <w:rPr>
          <w:rFonts w:hint="default" w:ascii="仿宋_GB2312" w:eastAsia="仿宋_GB2312"/>
          <w:b/>
          <w:sz w:val="32"/>
          <w:szCs w:val="32"/>
          <w:lang w:val="en-US"/>
        </w:rPr>
        <w:t xml:space="preserve"> </w:t>
      </w:r>
      <w:r>
        <w:rPr>
          <w:rFonts w:ascii="仿宋_GB2312" w:eastAsia="仿宋_GB2312"/>
          <w:b/>
          <w:sz w:val="32"/>
          <w:szCs w:val="32"/>
        </w:rPr>
        <w:t>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第二部分</w:t>
      </w:r>
      <w:r>
        <w:rPr>
          <w:rFonts w:hint="default" w:ascii="仿宋_GB2312" w:eastAsia="仿宋_GB2312"/>
          <w:b/>
          <w:sz w:val="32"/>
          <w:szCs w:val="32"/>
          <w:lang w:val="en-US"/>
        </w:rPr>
        <w:t xml:space="preserve"> </w:t>
      </w:r>
      <w:r>
        <w:rPr>
          <w:rFonts w:ascii="仿宋_GB2312" w:eastAsia="仿宋_GB2312"/>
          <w:b/>
          <w:sz w:val="32"/>
          <w:szCs w:val="32"/>
        </w:rPr>
        <w:t>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第三部分</w:t>
      </w:r>
      <w:r>
        <w:rPr>
          <w:rFonts w:hint="default" w:ascii="仿宋_GB2312" w:eastAsia="仿宋_GB2312"/>
          <w:b/>
          <w:sz w:val="32"/>
          <w:szCs w:val="32"/>
          <w:lang w:val="en-US"/>
        </w:rPr>
        <w:t xml:space="preserve"> </w:t>
      </w:r>
      <w:r>
        <w:rPr>
          <w:rFonts w:ascii="仿宋_GB2312" w:eastAsia="仿宋_GB2312"/>
          <w:b/>
          <w:sz w:val="32"/>
          <w:szCs w:val="32"/>
        </w:rPr>
        <w:t>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sz w:val="32"/>
          <w:szCs w:val="32"/>
        </w:rPr>
        <w:t>第四部分</w:t>
      </w:r>
      <w:r>
        <w:rPr>
          <w:rFonts w:hint="default" w:ascii="仿宋_GB2312" w:eastAsia="仿宋_GB2312"/>
          <w:b/>
          <w:sz w:val="32"/>
          <w:szCs w:val="32"/>
          <w:lang w:val="en-US"/>
        </w:rPr>
        <w:t xml:space="preserve"> </w:t>
      </w:r>
      <w:r>
        <w:rPr>
          <w:rFonts w:ascii="仿宋_GB2312" w:eastAsia="仿宋_GB2312"/>
          <w:b/>
          <w:sz w:val="32"/>
          <w:szCs w:val="32"/>
        </w:rPr>
        <w:t>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九、《财政拨款“三公”经费支出决算表》</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第一部分</w:t>
      </w:r>
      <w:r>
        <w:rPr>
          <w:rFonts w:hint="default" w:ascii="黑体" w:eastAsia="黑体"/>
          <w:b w:val="0"/>
          <w:sz w:val="32"/>
          <w:szCs w:val="32"/>
          <w:lang w:val="en-US"/>
        </w:rPr>
        <w:t xml:space="preserve"> </w:t>
      </w:r>
      <w:r>
        <w:rPr>
          <w:rFonts w:ascii="黑体" w:eastAsia="黑体"/>
          <w:b w:val="0"/>
          <w:sz w:val="32"/>
          <w:szCs w:val="32"/>
        </w:rPr>
        <w:t>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我单位行政管理隶属于新疆维吾尔自治区农业农村厅，经费管理隶属于新疆维吾尔自治区科学技术厅。成立于1979年，是一个以西甜瓜和葡萄研究开发为主的科研单位。主要职责是开展葡萄、西甜瓜等特色农业的重大科研与推广示范，承担葡萄种苗和甜瓜、西瓜良种繁育及采后处理的研究和推广等工作，承担自治区葡萄、瓜果新品种、新技术的试验、示范和人才培训任务。成立40多年来，始终坚持面向生产、服务“三农”，经过众多科技人员的艰苦奋斗，已经成为新疆特色农业的一支重要技术力量。先后选育出近50个西甜瓜新品种（系），16个葡萄新品种（系），其中西甜瓜品种种植面积曾达到全区的60%以上，占新疆商品瓜的70%以上。多年的新品种研究选育及技术推广为吐鲁番地区、全疆乃至全国瓜果产业发展都作出了突出贡献。先后承担国家、省级、地级以上科研、推广项目49项，是自治区属科研院所中主要从事葡萄、西瓜、甜瓜新品种研究的专业性研究机构，集科研、生产、经营、技术服务为一体；收集、整理并保存了国内外西瓜、甜瓜品种种质资源近1100份；拥有我国西部地区最大的葡萄种质资源库，保存国内外葡萄种质资源491多份。在西瓜、甜瓜、葡萄种质资源研究方面居自治区领先水平。</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新疆维吾尔自治区葡萄瓜果研究所2024年度，实有人数109人，其中：在职人员48人，减少2人；离休人员0人，较上年无变化；退休人员61人，增加1人。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新疆维吾尔自治区葡萄瓜果研究所无下属预算单位，下设7个</w:t>
      </w:r>
      <w:r>
        <w:rPr>
          <w:rFonts w:hint="eastAsia" w:ascii="仿宋_GB2312" w:eastAsia="仿宋_GB2312"/>
          <w:b w:val="0"/>
          <w:sz w:val="32"/>
          <w:szCs w:val="32"/>
          <w:lang w:eastAsia="zh-CN"/>
        </w:rPr>
        <w:t>科室</w:t>
      </w:r>
      <w:r>
        <w:rPr>
          <w:rFonts w:ascii="仿宋_GB2312" w:eastAsia="仿宋_GB2312"/>
          <w:b w:val="0"/>
          <w:sz w:val="32"/>
          <w:szCs w:val="32"/>
        </w:rPr>
        <w:t>，分别是：行政办公室、培训中心、葡萄研究室、瓜类研究室、综合研究室、重点实验室、试验场。</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第二部分部门决算情况说明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2024年度收入总计2,450.81万元，其中：本年收入合计2,057.03万元，使用非财政拨款结余（含专用结余）0.00万元，年初结转和结余393.79万元。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2024年度支出总计2,450.81万元，其中：本年支出合计2,053.90万元，结余分配0.00万元，年末结转和结余396.91万元。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收入支出总体与上年相比，减少688.94万元，下降21.94%，主要原因是：本年其他收入</w:t>
      </w:r>
      <w:r>
        <w:rPr>
          <w:rFonts w:hint="eastAsia" w:ascii="仿宋_GB2312" w:eastAsia="仿宋_GB2312"/>
          <w:b w:val="0"/>
          <w:sz w:val="32"/>
          <w:szCs w:val="32"/>
          <w:lang w:eastAsia="zh-CN"/>
        </w:rPr>
        <w:t>、</w:t>
      </w:r>
      <w:r>
        <w:rPr>
          <w:rFonts w:ascii="仿宋_GB2312" w:eastAsia="仿宋_GB2312"/>
          <w:b w:val="0"/>
          <w:sz w:val="32"/>
          <w:szCs w:val="32"/>
        </w:rPr>
        <w:t>事业收入和项目专项经费拨款减少。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收入2,057.03万元，其中：财政拨款收入1,470.00万元,占71.46%；上级补助收入0.00万元,占0.00%；事业收入93.70万元，占4.56%；经营收入0.00万元,占0.00%；附属单位上缴收入0.00万元，占0.00%；其他收入493.33万元，占23.98%。</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本年支出2,053.90万元，其中：基本支出1,242.23万元，占60.48%；项目支出811.67万元，占39.52%；上缴上级支出0.00万元，占0.00%；经营支出0.00万元，占0.00%；对附属单位补助支出0.00万元，占0.00%。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收入总计1,525.85万元，其中：年初财政拨款结转和结余55.84万元，本年财政拨款收入1,470.00万元。财政拨款支出总计1,525.85万元，其中：年末财政拨款结转和结余55.84万元，本年财政拨款支出1,470.00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财政拨款收入支出总体与上年相比，减少547.39万元，下降26.40%，主要原因是：本年我单位一般公共预算财政拨款的农业生产发展项目</w:t>
      </w:r>
      <w:r>
        <w:rPr>
          <w:rFonts w:hint="eastAsia" w:ascii="仿宋_GB2312" w:eastAsia="仿宋_GB2312"/>
          <w:b w:val="0"/>
          <w:sz w:val="32"/>
          <w:szCs w:val="32"/>
          <w:lang w:eastAsia="zh-CN"/>
        </w:rPr>
        <w:t>经费减少</w:t>
      </w:r>
      <w:r>
        <w:rPr>
          <w:rFonts w:ascii="仿宋_GB2312" w:eastAsia="仿宋_GB2312"/>
          <w:b w:val="0"/>
          <w:sz w:val="32"/>
          <w:szCs w:val="32"/>
        </w:rPr>
        <w:t>。与年初预算相比，年初预算数1,244.84万元，决算数1,525.85万元，预决算差异率22.57%，主要原因是：本年预算执行中追加了年度考核奖、调增基本工资、丧葬费抚恤金和职业年金</w:t>
      </w:r>
      <w:r>
        <w:rPr>
          <w:rFonts w:hint="eastAsia" w:ascii="仿宋_GB2312" w:eastAsia="仿宋_GB2312"/>
          <w:b w:val="0"/>
          <w:sz w:val="32"/>
          <w:szCs w:val="32"/>
          <w:lang w:eastAsia="zh-CN"/>
        </w:rPr>
        <w:t>，</w:t>
      </w:r>
      <w:r>
        <w:rPr>
          <w:rFonts w:ascii="仿宋_GB2312" w:eastAsia="仿宋_GB2312"/>
          <w:b w:val="0"/>
          <w:sz w:val="32"/>
          <w:szCs w:val="32"/>
        </w:rPr>
        <w:t>另外本年追加了4个财政拨款的项目资金</w:t>
      </w:r>
      <w:r>
        <w:rPr>
          <w:rFonts w:hint="eastAsia" w:ascii="仿宋_GB2312" w:eastAsia="仿宋_GB2312"/>
          <w:b w:val="0"/>
          <w:sz w:val="32"/>
          <w:szCs w:val="32"/>
          <w:lang w:eastAsia="zh-CN"/>
        </w:rPr>
        <w:t>，</w:t>
      </w:r>
      <w:r>
        <w:rPr>
          <w:rFonts w:ascii="仿宋_GB2312" w:eastAsia="仿宋_GB2312"/>
          <w:b w:val="0"/>
          <w:sz w:val="32"/>
          <w:szCs w:val="32"/>
        </w:rPr>
        <w:t>故预决算差异较大。</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2024年度一般公共预算财政拨款支出1,470.00万元，占本年支出合计的71.57%。与上年相比，减少547.40万元，下降27.13%，主要原因是：本年我单位一般公共预算财政拨款的农业生产发展项目</w:t>
      </w:r>
      <w:r>
        <w:rPr>
          <w:rFonts w:hint="eastAsia" w:ascii="仿宋_GB2312" w:eastAsia="仿宋_GB2312"/>
          <w:b w:val="0"/>
          <w:sz w:val="32"/>
          <w:szCs w:val="32"/>
          <w:lang w:eastAsia="zh-CN"/>
        </w:rPr>
        <w:t>经费减少</w:t>
      </w:r>
      <w:r>
        <w:rPr>
          <w:rFonts w:ascii="仿宋_GB2312" w:eastAsia="仿宋_GB2312"/>
          <w:b w:val="0"/>
          <w:sz w:val="32"/>
          <w:szCs w:val="32"/>
        </w:rPr>
        <w:t>。与年初预算相比，年初预算数1,244.84万元，决算数1,470.00万元，预决算差异率18.09%，主要原因是：本年预算执行中追加了年度考核奖、调增基本工资、丧葬费抚恤金和职业年金</w:t>
      </w:r>
      <w:r>
        <w:rPr>
          <w:rFonts w:hint="eastAsia" w:ascii="仿宋_GB2312" w:eastAsia="仿宋_GB2312"/>
          <w:b w:val="0"/>
          <w:sz w:val="32"/>
          <w:szCs w:val="32"/>
          <w:lang w:eastAsia="zh-CN"/>
        </w:rPr>
        <w:t>，</w:t>
      </w:r>
      <w:r>
        <w:rPr>
          <w:rFonts w:ascii="仿宋_GB2312" w:eastAsia="仿宋_GB2312"/>
          <w:b w:val="0"/>
          <w:sz w:val="32"/>
          <w:szCs w:val="32"/>
        </w:rPr>
        <w:t>另外本年追加了4个财政拨款的项目资金</w:t>
      </w:r>
      <w:r>
        <w:rPr>
          <w:rFonts w:hint="eastAsia" w:ascii="仿宋_GB2312" w:eastAsia="仿宋_GB2312"/>
          <w:b w:val="0"/>
          <w:sz w:val="32"/>
          <w:szCs w:val="32"/>
          <w:lang w:eastAsia="zh-CN"/>
        </w:rPr>
        <w:t>，</w:t>
      </w:r>
      <w:r>
        <w:rPr>
          <w:rFonts w:ascii="仿宋_GB2312" w:eastAsia="仿宋_GB2312"/>
          <w:b w:val="0"/>
          <w:sz w:val="32"/>
          <w:szCs w:val="32"/>
        </w:rPr>
        <w:t>故预决算差异较大。</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hint="eastAsia" w:ascii="仿宋_GB2312" w:eastAsia="仿宋_GB2312"/>
          <w:b w:val="0"/>
          <w:sz w:val="32"/>
          <w:szCs w:val="32"/>
          <w:lang w:val="en-US" w:eastAsia="zh-CN"/>
        </w:rPr>
        <w:t>1.</w:t>
      </w:r>
      <w:r>
        <w:rPr>
          <w:rFonts w:ascii="仿宋_GB2312" w:eastAsia="仿宋_GB2312"/>
          <w:b w:val="0"/>
          <w:sz w:val="32"/>
          <w:szCs w:val="32"/>
        </w:rPr>
        <w:t>科学技术支出（类）1,262.00万元，占85.85%。</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hint="eastAsia" w:ascii="仿宋_GB2312" w:eastAsia="仿宋_GB2312"/>
          <w:b w:val="0"/>
          <w:sz w:val="32"/>
          <w:szCs w:val="32"/>
          <w:lang w:val="en-US" w:eastAsia="zh-CN"/>
        </w:rPr>
        <w:t>2.</w:t>
      </w:r>
      <w:r>
        <w:rPr>
          <w:rFonts w:ascii="仿宋_GB2312" w:eastAsia="仿宋_GB2312"/>
          <w:b w:val="0"/>
          <w:sz w:val="32"/>
          <w:szCs w:val="32"/>
        </w:rPr>
        <w:t>社会保障和就业支出（类）25.00万元，占1.70%。</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hint="eastAsia" w:ascii="仿宋_GB2312" w:eastAsia="仿宋_GB2312"/>
          <w:b w:val="0"/>
          <w:sz w:val="32"/>
          <w:szCs w:val="32"/>
          <w:lang w:val="en-US" w:eastAsia="zh-CN"/>
        </w:rPr>
        <w:t>3.</w:t>
      </w:r>
      <w:r>
        <w:rPr>
          <w:rFonts w:ascii="仿宋_GB2312" w:eastAsia="仿宋_GB2312"/>
          <w:b w:val="0"/>
          <w:sz w:val="32"/>
          <w:szCs w:val="32"/>
        </w:rPr>
        <w:t>农林水支出（类）183.00万元，占12.45%。</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（三）一般公共预算财政拨款支出决算具体情况</w:t>
      </w:r>
    </w:p>
    <w:p>
      <w:pPr>
        <w:keepNext w:val="0"/>
        <w:keepLines w:val="0"/>
        <w:pageBreakBefore w:val="0"/>
        <w:widowControl/>
        <w:numPr>
          <w:ilvl w:val="0"/>
          <w:numId w:val="1"/>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科学技术支出（类）基础研究（款）科技人才队伍建设（项）：支出决算数为20.00万元，比上年决算减少130.00万元，下降86.67%，主要原因是：本年科技人才队伍建设项目</w:t>
      </w:r>
      <w:r>
        <w:rPr>
          <w:rFonts w:hint="eastAsia" w:ascii="仿宋_GB2312" w:eastAsia="仿宋_GB2312"/>
          <w:b w:val="0"/>
          <w:sz w:val="32"/>
          <w:szCs w:val="32"/>
          <w:lang w:eastAsia="zh-CN"/>
        </w:rPr>
        <w:t>经费减少</w:t>
      </w:r>
      <w:r>
        <w:rPr>
          <w:rFonts w:ascii="仿宋_GB2312" w:eastAsia="仿宋_GB2312"/>
          <w:b w:val="0"/>
          <w:sz w:val="32"/>
          <w:szCs w:val="32"/>
        </w:rPr>
        <w:t>。</w:t>
      </w:r>
    </w:p>
    <w:p>
      <w:pPr>
        <w:keepNext w:val="0"/>
        <w:keepLines w:val="0"/>
        <w:pageBreakBefore w:val="0"/>
        <w:widowControl/>
        <w:numPr>
          <w:ilvl w:val="0"/>
          <w:numId w:val="1"/>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科学技术支出（类）应用研究（款）机构运行（项）：支出决算数为1,242.00万元，比上年决算增加44.60万元，增长3.72%，主要原因是：本年预算执行中追加了年度考核奖、调增基本工资、丧葬费抚恤金和职业年金，使机构运行支出增加。</w:t>
      </w:r>
    </w:p>
    <w:p>
      <w:pPr>
        <w:keepNext w:val="0"/>
        <w:keepLines w:val="0"/>
        <w:pageBreakBefore w:val="0"/>
        <w:widowControl/>
        <w:numPr>
          <w:ilvl w:val="0"/>
          <w:numId w:val="1"/>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社会保障和就业支出（类）人力资源和社会保障管理事务（款）其他人力资源和社会保障管理事务支出（项）：支出决算数为25.00万元，比上年决算增加25.00万元，增长100.00%，主要原因是：本年新增1个其他人力资源和社会保障管理事务支出项目。</w:t>
      </w:r>
    </w:p>
    <w:p>
      <w:pPr>
        <w:keepNext w:val="0"/>
        <w:keepLines w:val="0"/>
        <w:pageBreakBefore w:val="0"/>
        <w:widowControl/>
        <w:numPr>
          <w:ilvl w:val="0"/>
          <w:numId w:val="1"/>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农林水支出（类）农业农村（款）科技转化与推广服务（项）：支出决算数为183.00万元，比上年决算增加183.00万元，增长100.00%，主要原因是：本年新增2个科技转化与推广服务项目，资金总额与上年相比增幅较大。</w:t>
      </w:r>
    </w:p>
    <w:p>
      <w:pPr>
        <w:keepNext w:val="0"/>
        <w:keepLines w:val="0"/>
        <w:pageBreakBefore w:val="0"/>
        <w:widowControl/>
        <w:numPr>
          <w:ilvl w:val="0"/>
          <w:numId w:val="1"/>
        </w:numPr>
        <w:kinsoku/>
        <w:wordWrap/>
        <w:overflowPunct/>
        <w:topLinePunct w:val="0"/>
        <w:autoSpaceDE/>
        <w:autoSpaceDN/>
        <w:bidi w:val="0"/>
        <w:adjustRightInd/>
        <w:snapToGrid/>
        <w:spacing w:before="0" w:beforeLines="0" w:beforeAutospacing="0" w:after="0" w:afterLines="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农林水支出（类）农业农村（款）农业生产发展（项）：支出决算数为0.00万元，比上年决算减少670.00万元，下降100.00%，主要原因是：本年我单位一般公共预算财政拨款的农业生产发展项目</w:t>
      </w:r>
      <w:r>
        <w:rPr>
          <w:rFonts w:hint="eastAsia" w:ascii="仿宋_GB2312" w:eastAsia="仿宋_GB2312"/>
          <w:b w:val="0"/>
          <w:sz w:val="32"/>
          <w:szCs w:val="32"/>
          <w:lang w:eastAsia="zh-CN"/>
        </w:rPr>
        <w:t>经费减少</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基本支出1,242.00万元，其中：人员经费1,156.31万元，包括：基本工资、津贴补贴、奖金、绩效工资、机关事业单位基本养老保险缴费、职业年金缴费、职工基本医疗保险缴费、公务员医疗补助缴费、其他社会保障缴费、住房公积金、其他工资福利支出、退休费、抚恤金和其他对个人和家庭的补助。</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公用经费85.70万元，包括：办公费、手续费、水费、电费、邮电费、取暖费、物业管理费、差旅费、公务接待费、工会经费、福利费、公务用车运行维护费和其他商品和服务支出。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三公”经费支出1.48万元，比上年减少0.38万元，下降20.43%，主要原因是：本年严格控制“三公”经费支出，严格控制因公出国（境）费用，加强公务用车管理，加强公务接待费支出管理，减少公务接待，严格按预算执行，不超标使用“三公”经费，使“三公”经费支出比上年减少。其中：因公出国（境）费支出0.00万元,占0.00%，与上年相比无变化，主要原因是：本年和上年均未安排因公出国（境）费；公务用车购置及运行维护费支出1.36万元，占91.89%，与上年相比无变化，主要原因是：严格按照相关要求，开展“三公”经费支出业务，加强公务用车管理，使公务用车购置及运行维护费支出与上年持平；公务接待费支出0.12万元，占8.11%，比上年减少0.38万元，下降76.00%，主要原因是：严格依照相关要求，开展“三公”经费支出业务，加强公务接待费支出管理，减少公务接待。</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具体情况如下：</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因公出国（境）费支出0.00万元，开支内容包括我单位本年未安排因公出国（境）费。单位全年安排的因公出国（境）团组0个，因公出国（境）0人次。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1.36万元，其中：公务用车购置费0.00万元，公务用车运行维护费1.36万元。公务用车运行维护费开支内容包括车辆年审及保险费、油料费、维修费和过路费。公务用车购置数0辆，公务用车保有量1辆。国有资产占用情况中固定资产车辆1辆，与公务用车保有量差异原因是：国有资产占用情况中固定资产车辆与公务用车保有量一致，无差异。</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公务接待费0.12万元，开支内容包括因科研交流等公务活动发生的接待费用。单位全年安排的国内公务接待1批次，20人次。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与全年预算相比，财政拨款“三公”经费支出全年预算数1.48万元，决算数1.48万元，预决算差异率0.00%，主要原因是：本年严格控制“三公”经费支出，严格控制因公出国（境）费用，加强公务用车管理，加强公务接待费支出管理，严格按预算执行，不超标使用“三公”经费，使“三公”经费支出与预算持平。其中：因公出国（境）费全年预算数0.00万元，决算数0.00万元，预决算差异率0.00%，主要原因是：我单位未安排因公出国（境）费，故预决算无差异。公务用车购置费全年预算数0.00万元，决算数0.00万元，预决算差异率0.00%，主要原因是：我单位未安排公务用车购置费，故预决算无差异。公务用车运行维护费全年预算数1.36万元，决算数1.36万元，预决算差异率0.00%，主要原因是：严格依照相关要求，开展“三公”经费支出业务，加强公务用车管理，严格按预算执行，使公务用车运行维护费支出与预算持平。公务接待费全年预算数0.12万元，决算数0.12万元，预决算差异率0.00%，主要原因是：严格依照相关要求，开展“三公”经费支出业务，加强公务接待费支出管理，使公务接待费支出与预算持平。</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w:t>
      </w:r>
      <w:r>
        <w:rPr>
          <w:rFonts w:hint="eastAsia" w:ascii="仿宋_GB2312" w:eastAsia="仿宋_GB2312"/>
          <w:b w:val="0"/>
          <w:sz w:val="32"/>
          <w:szCs w:val="32"/>
        </w:rPr>
        <w:t>新疆维吾尔自治区葡萄瓜果研究所</w:t>
      </w:r>
      <w:r>
        <w:rPr>
          <w:rFonts w:hint="eastAsia" w:ascii="仿宋_GB2312" w:eastAsia="仿宋_GB2312"/>
          <w:b w:val="0"/>
          <w:sz w:val="32"/>
          <w:szCs w:val="32"/>
          <w:lang w:eastAsia="zh-CN"/>
        </w:rPr>
        <w:t>（事业单位）</w:t>
      </w:r>
      <w:r>
        <w:rPr>
          <w:rFonts w:ascii="仿宋_GB2312" w:eastAsia="仿宋_GB2312"/>
          <w:b w:val="0"/>
          <w:sz w:val="32"/>
          <w:szCs w:val="32"/>
        </w:rPr>
        <w:t>公用经费支出85.70万元，比上年减少5.32万元，下降5.84%，主要原因是：</w:t>
      </w:r>
      <w:r>
        <w:rPr>
          <w:rFonts w:hint="eastAsia" w:ascii="仿宋_GB2312" w:eastAsia="仿宋_GB2312"/>
          <w:b w:val="0"/>
          <w:sz w:val="32"/>
          <w:szCs w:val="32"/>
          <w:lang w:eastAsia="zh-CN"/>
        </w:rPr>
        <w:t>单位</w:t>
      </w:r>
      <w:r>
        <w:rPr>
          <w:rFonts w:ascii="仿宋_GB2312" w:eastAsia="仿宋_GB2312"/>
          <w:b w:val="0"/>
          <w:sz w:val="32"/>
          <w:szCs w:val="32"/>
        </w:rPr>
        <w:t>人员减少，相应工会经费和福利费减少</w:t>
      </w:r>
      <w:r>
        <w:rPr>
          <w:rFonts w:hint="eastAsia" w:ascii="仿宋_GB2312" w:eastAsia="仿宋_GB2312"/>
          <w:b w:val="0"/>
          <w:sz w:val="32"/>
          <w:szCs w:val="32"/>
          <w:lang w:eastAsia="zh-CN"/>
        </w:rPr>
        <w:t>，</w:t>
      </w:r>
      <w:r>
        <w:rPr>
          <w:rFonts w:ascii="仿宋_GB2312" w:eastAsia="仿宋_GB2312"/>
          <w:b w:val="0"/>
          <w:sz w:val="32"/>
          <w:szCs w:val="32"/>
        </w:rPr>
        <w:t>取暖费减少。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2024年度政府采购支出总额5.40万元，其中：政府采购货物支出4.67万元、政府采购工程支出0.00万元、政府采购服务支出0.74万元。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授予中小企业合同金额5.07万元，占政府采购支出总额的93.89%，其中：授予小微企业合同金额4.71万元，占政府采购支出总额的87.22%。</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19,847.91平方米，价值1,799.64万元。车辆1辆，价值27.39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1台</w:t>
      </w:r>
      <w:bookmarkStart w:id="0" w:name="_GoBack"/>
      <w:bookmarkEnd w:id="0"/>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根据预算绩效管理要求，本单位2024年度预算绩效评价项目2个，全年预算数710.00万元，全年执行数683.66万元</w:t>
      </w:r>
      <w:r>
        <w:rPr>
          <w:rFonts w:hint="eastAsia" w:ascii="仿宋_GB2312" w:eastAsia="仿宋_GB2312"/>
          <w:b w:val="0"/>
          <w:sz w:val="32"/>
          <w:szCs w:val="32"/>
          <w:lang w:eastAsia="zh-CN"/>
        </w:rPr>
        <w:t>。</w:t>
      </w:r>
      <w:r>
        <w:rPr>
          <w:rFonts w:ascii="仿宋_GB2312" w:eastAsia="仿宋_GB2312"/>
          <w:b w:val="0"/>
          <w:sz w:val="32"/>
          <w:szCs w:val="32"/>
        </w:rPr>
        <w:t>预算绩效管理取得的成效：一是通过开展预算项目的绩效评价，梳理项目执行情况、取得的成效、资金使用和制度建设情况，及时总结经验，发现问题，提出整改意见和建议；二是通过绩效评价，进一步规范项目实施程序，加强项目管理和监督，完善制度建设，严格资金的使用管理，确保项目资金使用管理的规范性、安全性和有效性，确保项目按时、按质、按量完成</w:t>
      </w:r>
      <w:r>
        <w:rPr>
          <w:rFonts w:hint="eastAsia" w:ascii="仿宋_GB2312" w:eastAsia="仿宋_GB2312"/>
          <w:b w:val="0"/>
          <w:sz w:val="32"/>
          <w:szCs w:val="32"/>
          <w:lang w:eastAsia="zh-CN"/>
        </w:rPr>
        <w:t>。</w:t>
      </w:r>
      <w:r>
        <w:rPr>
          <w:rFonts w:ascii="仿宋_GB2312" w:eastAsia="仿宋_GB2312"/>
          <w:b w:val="0"/>
          <w:sz w:val="32"/>
          <w:szCs w:val="32"/>
        </w:rPr>
        <w:t>发现的问题及原因：一是预算绩效管理意识有待提高，绩效管理意识不强；二是缺少熟悉运用预算绩效管理专门的工作人员，相关的工作人员进行预算绩效管理的经验不足，人员知识储备和培训强度远远达不到要求</w:t>
      </w:r>
      <w:r>
        <w:rPr>
          <w:rFonts w:hint="eastAsia" w:ascii="仿宋_GB2312" w:eastAsia="仿宋_GB2312"/>
          <w:b w:val="0"/>
          <w:sz w:val="32"/>
          <w:szCs w:val="32"/>
          <w:lang w:val="en-US" w:eastAsia="zh-CN"/>
        </w:rPr>
        <w:t>,</w:t>
      </w:r>
      <w:r>
        <w:rPr>
          <w:rFonts w:ascii="仿宋_GB2312" w:eastAsia="仿宋_GB2312"/>
          <w:b w:val="0"/>
          <w:sz w:val="32"/>
          <w:szCs w:val="32"/>
        </w:rPr>
        <w:t>导致前期绩效目标不够细致，没有考虑到项目实施可能遇到变量</w:t>
      </w:r>
      <w:r>
        <w:rPr>
          <w:rFonts w:hint="eastAsia" w:ascii="仿宋_GB2312" w:eastAsia="仿宋_GB2312"/>
          <w:b w:val="0"/>
          <w:sz w:val="32"/>
          <w:szCs w:val="32"/>
          <w:lang w:eastAsia="zh-CN"/>
        </w:rPr>
        <w:t>。</w:t>
      </w:r>
      <w:r>
        <w:rPr>
          <w:rFonts w:ascii="仿宋_GB2312" w:eastAsia="仿宋_GB2312"/>
          <w:b w:val="0"/>
          <w:sz w:val="32"/>
          <w:szCs w:val="32"/>
        </w:rPr>
        <w:t>下一步改进措施：一是完善预算绩效管理基础工作，做细各项绩效指标；二是抓好绩效评价管理部门的队伍建设和业务指导，培育部门的绩效评价管理队伍，并加强业务培训。具体附项目支出绩效自评表。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本单位无其他需说明事项。</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第三部分专业名词解释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jc w:val="center"/>
        <w:textAlignment w:val="auto"/>
        <w:outlineLvl w:val="0"/>
        <w:rPr>
          <w:rFonts w:ascii="黑体" w:eastAsia="黑体"/>
          <w:sz w:val="32"/>
          <w:szCs w:val="32"/>
        </w:rPr>
      </w:pPr>
      <w:r>
        <w:rPr>
          <w:rFonts w:ascii="黑体" w:eastAsia="黑体"/>
          <w:b w:val="0"/>
          <w:sz w:val="32"/>
          <w:szCs w:val="32"/>
        </w:rPr>
        <w:t>第四部分部门决算报表（见附表）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suff w:val="nothing"/>
      <w:lvlText w:val="%1."/>
      <w:lvlJc w:val="left"/>
      <w:pPr>
        <w:spacing w:before="0" w:beforeLines="0" w:beforeAutospacing="0" w:line="240" w:lineRule="auto"/>
        <w:ind w:firstLine="640" w:firstLineChars="200"/>
      </w:p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000000"/>
    <w:rsid w:val="34BF72B4"/>
    <w:rsid w:val="57F03A7E"/>
    <w:rsid w:val="660964BF"/>
    <w:rsid w:val="7857257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13</Pages>
  <Words>6092</Words>
  <Characters>6716</Characters>
  <TotalTime>3</TotalTime>
  <ScaleCrop>false</ScaleCrop>
  <LinksUpToDate>false</LinksUpToDate>
  <CharactersWithSpaces>6716</CharactersWithSpaces>
  <Application>WPS Office_11.8.2.10912_F1E327BC-269C-435d-A152-05C5408002CA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2025-08-14T02:12:00Z</dcterms:created>
  <dc:creator>Administrator</dc:creator>
  <cp:lastModifiedBy>Administrator</cp:lastModifiedBy>
  <dcterms:modified xsi:type="dcterms:W3CDTF">2025-08-25T11:28:00Z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eyJoZGlkIjoiMTFjZjQyMzBhY2Q0MDkzM2MxYzExNmY0ZTNjMmRjYWQiLCJ1c2VySWQiOiIyMDkwNzQwMDQifQ==</vt:lpwstr>
  </property>
  <property fmtid="{D5CDD505-2E9C-101B-9397-08002B2CF9AE}" pid="3" name="KSOProductBuildVer">
    <vt:lpwstr>2052-11.8.2.10912</vt:lpwstr>
  </property>
  <property fmtid="{D5CDD505-2E9C-101B-9397-08002B2CF9AE}" pid="4" name="ICV">
    <vt:lpwstr>B3C1D3C5109644B99E914F29E31FE2D1_12</vt:lpwstr>
  </property>
</Properties>
</file>